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4A447" w14:textId="77777777" w:rsidR="008B1C66" w:rsidRDefault="00F0363E">
      <w:pPr>
        <w:spacing w:line="276" w:lineRule="auto"/>
        <w:jc w:val="center"/>
        <w:rPr>
          <w:sz w:val="36"/>
        </w:rPr>
      </w:pPr>
      <w:r>
        <w:rPr>
          <w:sz w:val="36"/>
        </w:rPr>
        <w:t>Regulamin Rady Stowarzyszenia LGD „Górna Prosna”</w:t>
      </w:r>
    </w:p>
    <w:p w14:paraId="5564A448" w14:textId="77777777" w:rsidR="008B1C66" w:rsidRDefault="008B1C66">
      <w:pPr>
        <w:spacing w:after="120" w:line="276" w:lineRule="auto"/>
        <w:jc w:val="center"/>
        <w:rPr>
          <w:rFonts w:cs="Times New Roman"/>
          <w:b/>
          <w:bCs/>
        </w:rPr>
      </w:pPr>
    </w:p>
    <w:p w14:paraId="5564A449" w14:textId="77777777" w:rsidR="008B1C66" w:rsidRDefault="008B1C66">
      <w:pPr>
        <w:spacing w:after="120" w:line="276" w:lineRule="auto"/>
        <w:jc w:val="center"/>
        <w:rPr>
          <w:rFonts w:cs="Times New Roman"/>
          <w:b/>
          <w:bCs/>
        </w:rPr>
      </w:pPr>
    </w:p>
    <w:p w14:paraId="5564A44A" w14:textId="77777777" w:rsidR="008B1C66" w:rsidRDefault="00F0363E">
      <w:pPr>
        <w:spacing w:after="120" w:line="276" w:lineRule="auto"/>
        <w:jc w:val="center"/>
        <w:rPr>
          <w:rFonts w:cs="Times New Roman"/>
          <w:b/>
          <w:bCs/>
        </w:rPr>
      </w:pPr>
      <w:r>
        <w:rPr>
          <w:rFonts w:cs="Times New Roman"/>
          <w:b/>
          <w:bCs/>
        </w:rPr>
        <w:t>ROZDZIAŁ I</w:t>
      </w:r>
    </w:p>
    <w:p w14:paraId="5564A44B" w14:textId="77777777" w:rsidR="008B1C66" w:rsidRDefault="00F0363E">
      <w:pPr>
        <w:spacing w:after="120" w:line="276" w:lineRule="auto"/>
        <w:jc w:val="center"/>
        <w:rPr>
          <w:rFonts w:cs="Times New Roman"/>
          <w:b/>
        </w:rPr>
      </w:pPr>
      <w:r>
        <w:rPr>
          <w:rFonts w:cs="Times New Roman"/>
          <w:b/>
        </w:rPr>
        <w:t>Postanowienia ogólne</w:t>
      </w:r>
    </w:p>
    <w:p w14:paraId="5564A44C" w14:textId="77777777" w:rsidR="008B1C66" w:rsidRDefault="008B1C66">
      <w:pPr>
        <w:spacing w:line="276" w:lineRule="auto"/>
        <w:rPr>
          <w:rFonts w:cs="Times New Roman"/>
          <w:b/>
        </w:rPr>
      </w:pPr>
    </w:p>
    <w:p w14:paraId="5564A44D" w14:textId="77777777" w:rsidR="008B1C66" w:rsidRDefault="00F0363E">
      <w:pPr>
        <w:spacing w:after="120" w:line="276" w:lineRule="auto"/>
        <w:jc w:val="center"/>
        <w:rPr>
          <w:rFonts w:cs="Times New Roman"/>
          <w:b/>
        </w:rPr>
      </w:pPr>
      <w:r>
        <w:rPr>
          <w:rFonts w:cs="Times New Roman"/>
          <w:b/>
        </w:rPr>
        <w:t>§ 1</w:t>
      </w:r>
    </w:p>
    <w:p w14:paraId="5564A44E" w14:textId="77777777" w:rsidR="008B1C66" w:rsidRDefault="00F0363E">
      <w:pPr>
        <w:spacing w:after="120" w:line="276" w:lineRule="auto"/>
        <w:jc w:val="both"/>
        <w:rPr>
          <w:rFonts w:cs="Times New Roman"/>
        </w:rPr>
      </w:pPr>
      <w:r>
        <w:rPr>
          <w:rFonts w:cs="Times New Roman"/>
        </w:rPr>
        <w:t>Regulamin Rady Stowarzyszenia LGD „Górna Prosna” określa organizacj</w:t>
      </w:r>
      <w:r>
        <w:rPr>
          <w:rFonts w:eastAsia="Times New Roman" w:cs="Times New Roman"/>
        </w:rPr>
        <w:t xml:space="preserve">ę </w:t>
      </w:r>
      <w:r>
        <w:rPr>
          <w:rFonts w:cs="Times New Roman"/>
        </w:rPr>
        <w:t>wewn</w:t>
      </w:r>
      <w:r>
        <w:rPr>
          <w:rFonts w:eastAsia="Times New Roman" w:cs="Times New Roman"/>
        </w:rPr>
        <w:t>ę</w:t>
      </w:r>
      <w:r>
        <w:rPr>
          <w:rFonts w:cs="Times New Roman"/>
        </w:rPr>
        <w:t>trzn</w:t>
      </w:r>
      <w:r>
        <w:rPr>
          <w:rFonts w:eastAsia="Times New Roman" w:cs="Times New Roman"/>
        </w:rPr>
        <w:t xml:space="preserve">ą </w:t>
      </w:r>
      <w:r>
        <w:rPr>
          <w:rFonts w:cs="Times New Roman"/>
        </w:rPr>
        <w:t>i tryb pracy tego organu.</w:t>
      </w:r>
    </w:p>
    <w:p w14:paraId="5564A44F" w14:textId="77777777" w:rsidR="008B1C66" w:rsidRDefault="008B1C66">
      <w:pPr>
        <w:spacing w:line="276" w:lineRule="auto"/>
        <w:rPr>
          <w:rFonts w:cs="Times New Roman"/>
        </w:rPr>
      </w:pPr>
    </w:p>
    <w:p w14:paraId="5564A450" w14:textId="77777777" w:rsidR="008B1C66" w:rsidRDefault="00F0363E">
      <w:pPr>
        <w:spacing w:after="120" w:line="276" w:lineRule="auto"/>
        <w:jc w:val="center"/>
        <w:rPr>
          <w:rFonts w:cs="Times New Roman"/>
          <w:b/>
        </w:rPr>
      </w:pPr>
      <w:r>
        <w:rPr>
          <w:rFonts w:cs="Times New Roman"/>
          <w:b/>
        </w:rPr>
        <w:t>§ 2</w:t>
      </w:r>
    </w:p>
    <w:p w14:paraId="5564A451" w14:textId="77777777" w:rsidR="008B1C66" w:rsidRDefault="00F0363E">
      <w:pPr>
        <w:spacing w:after="120" w:line="276" w:lineRule="auto"/>
        <w:jc w:val="both"/>
        <w:rPr>
          <w:rFonts w:cs="Times New Roman"/>
        </w:rPr>
      </w:pPr>
      <w:r>
        <w:rPr>
          <w:rFonts w:cs="Times New Roman"/>
        </w:rPr>
        <w:t>Jeżeli nic innego nie wynika z treści regulaminu Rady lub z kontekstu, w jakim użyto danego terminu, poniższe terminy u</w:t>
      </w:r>
      <w:r>
        <w:rPr>
          <w:rFonts w:eastAsia="Times New Roman" w:cs="Times New Roman"/>
        </w:rPr>
        <w:t>ż</w:t>
      </w:r>
      <w:r>
        <w:rPr>
          <w:rFonts w:cs="Times New Roman"/>
        </w:rPr>
        <w:t>yte w niniejszym regulaminie oznaczaj</w:t>
      </w:r>
      <w:r>
        <w:rPr>
          <w:rFonts w:eastAsia="Times New Roman" w:cs="Times New Roman"/>
        </w:rPr>
        <w:t>ą</w:t>
      </w:r>
      <w:r>
        <w:rPr>
          <w:rFonts w:cs="Times New Roman"/>
        </w:rPr>
        <w:t>:</w:t>
      </w:r>
    </w:p>
    <w:p w14:paraId="5564A452" w14:textId="77777777" w:rsidR="008B1C66" w:rsidRDefault="00F0363E">
      <w:pPr>
        <w:numPr>
          <w:ilvl w:val="0"/>
          <w:numId w:val="17"/>
        </w:numPr>
        <w:spacing w:after="120" w:line="276" w:lineRule="auto"/>
        <w:ind w:left="567" w:hanging="425"/>
        <w:jc w:val="both"/>
        <w:rPr>
          <w:rFonts w:cs="Times New Roman"/>
        </w:rPr>
      </w:pPr>
      <w:r>
        <w:rPr>
          <w:rFonts w:cs="Times New Roman"/>
          <w:b/>
          <w:bCs/>
        </w:rPr>
        <w:t xml:space="preserve">LGD </w:t>
      </w:r>
      <w:r>
        <w:rPr>
          <w:rFonts w:cs="Times New Roman"/>
          <w:b/>
        </w:rPr>
        <w:t>albo</w:t>
      </w:r>
      <w:r>
        <w:rPr>
          <w:b/>
        </w:rPr>
        <w:t xml:space="preserve"> Stowarzyszenie </w:t>
      </w:r>
      <w:r>
        <w:rPr>
          <w:rFonts w:cs="Times New Roman"/>
        </w:rPr>
        <w:t>– oznacza Lokalną Grupę Działania „Górna Prosna”;</w:t>
      </w:r>
    </w:p>
    <w:p w14:paraId="5564A453" w14:textId="77777777" w:rsidR="008B1C66" w:rsidRDefault="00F0363E">
      <w:pPr>
        <w:numPr>
          <w:ilvl w:val="0"/>
          <w:numId w:val="17"/>
        </w:numPr>
        <w:spacing w:after="120" w:line="276" w:lineRule="auto"/>
        <w:ind w:left="567" w:hanging="425"/>
        <w:jc w:val="both"/>
        <w:rPr>
          <w:rFonts w:cs="Times New Roman"/>
        </w:rPr>
      </w:pPr>
      <w:r>
        <w:rPr>
          <w:rFonts w:cs="Times New Roman"/>
          <w:b/>
          <w:bCs/>
        </w:rPr>
        <w:t>Rada</w:t>
      </w:r>
      <w:r>
        <w:rPr>
          <w:rFonts w:cs="Times New Roman"/>
        </w:rPr>
        <w:t xml:space="preserve"> – oznacza Radę-organ decyzyjny Stowarzyszenia, tj. organ</w:t>
      </w:r>
      <w:r>
        <w:t>, o którym mowa w art. 4 ust. 3 pkt 4 ustawy o RLKS</w:t>
      </w:r>
      <w:r>
        <w:rPr>
          <w:rFonts w:cs="Times New Roman"/>
        </w:rPr>
        <w:t>;</w:t>
      </w:r>
    </w:p>
    <w:p w14:paraId="5564A454" w14:textId="77777777" w:rsidR="008B1C66" w:rsidRDefault="00F0363E">
      <w:pPr>
        <w:numPr>
          <w:ilvl w:val="0"/>
          <w:numId w:val="17"/>
        </w:numPr>
        <w:spacing w:after="120" w:line="276" w:lineRule="auto"/>
        <w:ind w:left="567" w:hanging="425"/>
        <w:jc w:val="both"/>
        <w:rPr>
          <w:rFonts w:cs="Times New Roman"/>
        </w:rPr>
      </w:pPr>
      <w:r>
        <w:rPr>
          <w:rFonts w:cs="Times New Roman"/>
          <w:b/>
          <w:bCs/>
        </w:rPr>
        <w:t>regulamin</w:t>
      </w:r>
      <w:r>
        <w:rPr>
          <w:rFonts w:cs="Times New Roman"/>
        </w:rPr>
        <w:t xml:space="preserve"> – oznacza Regulamin Rady, tj. niniejszy dokument wraz z załącznikami;</w:t>
      </w:r>
    </w:p>
    <w:p w14:paraId="5564A455" w14:textId="77777777" w:rsidR="008B1C66" w:rsidRDefault="00F0363E">
      <w:pPr>
        <w:numPr>
          <w:ilvl w:val="0"/>
          <w:numId w:val="17"/>
        </w:numPr>
        <w:spacing w:after="120" w:line="276" w:lineRule="auto"/>
        <w:ind w:left="567" w:hanging="425"/>
        <w:jc w:val="both"/>
        <w:rPr>
          <w:rFonts w:cs="Times New Roman"/>
        </w:rPr>
      </w:pPr>
      <w:r>
        <w:rPr>
          <w:rFonts w:cs="Times New Roman"/>
          <w:b/>
          <w:bCs/>
        </w:rPr>
        <w:t>Walne Zebranie Członków</w:t>
      </w:r>
      <w:r>
        <w:rPr>
          <w:rFonts w:cs="Times New Roman"/>
        </w:rPr>
        <w:t xml:space="preserve"> – oznacza walne zebranie członków Stowarzyszenia;</w:t>
      </w:r>
    </w:p>
    <w:p w14:paraId="5564A456" w14:textId="77777777" w:rsidR="008B1C66" w:rsidRDefault="00F0363E">
      <w:pPr>
        <w:numPr>
          <w:ilvl w:val="0"/>
          <w:numId w:val="17"/>
        </w:numPr>
        <w:spacing w:after="120" w:line="276" w:lineRule="auto"/>
        <w:ind w:left="567" w:hanging="425"/>
        <w:jc w:val="both"/>
        <w:rPr>
          <w:rFonts w:cs="Times New Roman"/>
        </w:rPr>
      </w:pPr>
      <w:r>
        <w:rPr>
          <w:rFonts w:cs="Times New Roman"/>
          <w:b/>
          <w:bCs/>
        </w:rPr>
        <w:t>Zarz</w:t>
      </w:r>
      <w:r>
        <w:rPr>
          <w:rFonts w:eastAsia="Times New Roman" w:cs="Times New Roman"/>
          <w:b/>
          <w:bCs/>
        </w:rPr>
        <w:t>ą</w:t>
      </w:r>
      <w:r>
        <w:rPr>
          <w:rFonts w:cs="Times New Roman"/>
          <w:b/>
          <w:bCs/>
        </w:rPr>
        <w:t>d</w:t>
      </w:r>
      <w:r>
        <w:rPr>
          <w:rFonts w:cs="Times New Roman"/>
        </w:rPr>
        <w:t>– oznacza Zarz</w:t>
      </w:r>
      <w:r>
        <w:rPr>
          <w:rFonts w:eastAsia="Times New Roman" w:cs="Times New Roman"/>
        </w:rPr>
        <w:t>ą</w:t>
      </w:r>
      <w:r>
        <w:rPr>
          <w:rFonts w:cs="Times New Roman"/>
        </w:rPr>
        <w:t>d Stowarzyszenia;</w:t>
      </w:r>
    </w:p>
    <w:p w14:paraId="5564A457" w14:textId="77777777" w:rsidR="008B1C66" w:rsidRDefault="00F0363E">
      <w:pPr>
        <w:numPr>
          <w:ilvl w:val="0"/>
          <w:numId w:val="17"/>
        </w:numPr>
        <w:spacing w:after="120" w:line="276" w:lineRule="auto"/>
        <w:ind w:left="567" w:hanging="425"/>
        <w:jc w:val="both"/>
        <w:rPr>
          <w:rFonts w:cs="Times New Roman"/>
        </w:rPr>
      </w:pPr>
      <w:r>
        <w:rPr>
          <w:rFonts w:cs="Times New Roman"/>
          <w:b/>
          <w:bCs/>
        </w:rPr>
        <w:t>Biuro</w:t>
      </w:r>
      <w:r>
        <w:rPr>
          <w:rFonts w:cs="Times New Roman"/>
        </w:rPr>
        <w:t xml:space="preserve"> – oznacza Biuro Stowarzyszenia;</w:t>
      </w:r>
    </w:p>
    <w:p w14:paraId="5564A458" w14:textId="77777777" w:rsidR="008B1C66" w:rsidRDefault="00F0363E">
      <w:pPr>
        <w:numPr>
          <w:ilvl w:val="0"/>
          <w:numId w:val="17"/>
        </w:numPr>
        <w:spacing w:after="120" w:line="276" w:lineRule="auto"/>
        <w:ind w:left="567" w:hanging="425"/>
        <w:jc w:val="both"/>
        <w:rPr>
          <w:rFonts w:cs="Times New Roman"/>
        </w:rPr>
      </w:pPr>
      <w:r>
        <w:rPr>
          <w:rFonts w:cs="Times New Roman"/>
          <w:b/>
        </w:rPr>
        <w:t>Członek Rady</w:t>
      </w:r>
      <w:r>
        <w:rPr>
          <w:rFonts w:cs="Times New Roman"/>
        </w:rPr>
        <w:t xml:space="preserve"> – oznacza osobę fizyczną będącą członkiem tego organu lub osobę prawną będąca członkiem tego organu, przy czym w przypadku osób prawnych będących Członkami Rady, przepisy regulaminu dotyczące Członka Rady stosują się odpowiednio do osoby fizycznej wyznaczonej do reprezentowania w Radzie tej osoby prawnej;</w:t>
      </w:r>
    </w:p>
    <w:p w14:paraId="5564A459" w14:textId="77777777" w:rsidR="008B1C66" w:rsidRDefault="00F0363E">
      <w:pPr>
        <w:numPr>
          <w:ilvl w:val="0"/>
          <w:numId w:val="17"/>
        </w:numPr>
        <w:spacing w:after="120" w:line="276" w:lineRule="auto"/>
        <w:ind w:left="567" w:hanging="425"/>
        <w:jc w:val="both"/>
        <w:rPr>
          <w:rFonts w:cs="Times New Roman"/>
        </w:rPr>
      </w:pPr>
      <w:r>
        <w:rPr>
          <w:rFonts w:cs="Times New Roman"/>
          <w:b/>
        </w:rPr>
        <w:t xml:space="preserve">konflikt interesów </w:t>
      </w:r>
      <w:r>
        <w:rPr>
          <w:rFonts w:cs="Times New Roman"/>
        </w:rPr>
        <w:t>– konflikt w rozumieniu art. 61 ust.3 rozporządzenia 2018/1046;</w:t>
      </w:r>
    </w:p>
    <w:p w14:paraId="5564A45A" w14:textId="77777777" w:rsidR="008B1C66" w:rsidRDefault="00F0363E">
      <w:pPr>
        <w:numPr>
          <w:ilvl w:val="0"/>
          <w:numId w:val="17"/>
        </w:numPr>
        <w:spacing w:after="120" w:line="276" w:lineRule="auto"/>
        <w:ind w:left="567" w:hanging="425"/>
        <w:jc w:val="both"/>
        <w:rPr>
          <w:rFonts w:cs="Times New Roman"/>
          <w:bCs/>
        </w:rPr>
      </w:pPr>
      <w:r>
        <w:rPr>
          <w:rFonts w:cs="Times New Roman"/>
          <w:b/>
        </w:rPr>
        <w:t>rozporządzenie 2021/1060</w:t>
      </w:r>
      <w:r>
        <w:rPr>
          <w:rFonts w:cs="Times New Roman"/>
          <w:bCs/>
        </w:rPr>
        <w:t xml:space="preserve"> – oznacza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w:t>
      </w:r>
      <w:proofErr w:type="spellStart"/>
      <w:r>
        <w:rPr>
          <w:rFonts w:cs="Times New Roman"/>
          <w:bCs/>
        </w:rPr>
        <w:t>późn</w:t>
      </w:r>
      <w:proofErr w:type="spellEnd"/>
      <w:r>
        <w:rPr>
          <w:rFonts w:cs="Times New Roman"/>
          <w:bCs/>
        </w:rPr>
        <w:t>. zm.);</w:t>
      </w:r>
    </w:p>
    <w:p w14:paraId="5564A45B" w14:textId="77777777" w:rsidR="008B1C66" w:rsidRDefault="00F0363E">
      <w:pPr>
        <w:numPr>
          <w:ilvl w:val="0"/>
          <w:numId w:val="17"/>
        </w:numPr>
        <w:spacing w:after="120" w:line="276" w:lineRule="auto"/>
        <w:ind w:left="567" w:hanging="425"/>
        <w:jc w:val="both"/>
        <w:rPr>
          <w:rFonts w:cs="Times New Roman"/>
          <w:bCs/>
        </w:rPr>
      </w:pPr>
      <w:r>
        <w:rPr>
          <w:rFonts w:cs="Times New Roman"/>
          <w:b/>
        </w:rPr>
        <w:t xml:space="preserve">rozporządzenie 2018/1046 </w:t>
      </w:r>
      <w:r>
        <w:rPr>
          <w:rFonts w:cs="Times New Roman"/>
          <w:bCs/>
        </w:rPr>
        <w:t xml:space="preserve">– oznacza rozporządzenie Parlamentu Europejskiego i Rady (UE) 2018/1046 z dnia 18 lipca 2018 r. w sprawie zasad finansowych mających zastosowanie do budżetu ogólnego Unii, zmieniające rozporządzenia (UE) nr 1296/2013, (UE) nr 1301/2013, (UE) nr 1303/2013, (UE) nr 1304/2013, (UE) nr 1309/2013, (UE) nr 1316/2013, (UE) nr 223/2014 i (UE) nr 283/2014 oraz decyzję nr 541/2014/UE, a także uchylające rozporządzenie </w:t>
      </w:r>
      <w:r>
        <w:rPr>
          <w:rFonts w:cs="Times New Roman"/>
          <w:bCs/>
        </w:rPr>
        <w:lastRenderedPageBreak/>
        <w:t xml:space="preserve">(UE) nr 966/2012 (Dz. Urz. UE L 193 z 30.07.2018, str. 1, z </w:t>
      </w:r>
      <w:proofErr w:type="spellStart"/>
      <w:r>
        <w:rPr>
          <w:rFonts w:cs="Times New Roman"/>
          <w:bCs/>
        </w:rPr>
        <w:t>późn</w:t>
      </w:r>
      <w:proofErr w:type="spellEnd"/>
      <w:r>
        <w:rPr>
          <w:rFonts w:cs="Times New Roman"/>
          <w:bCs/>
        </w:rPr>
        <w:t>. zm.);</w:t>
      </w:r>
    </w:p>
    <w:p w14:paraId="5564A45C" w14:textId="77777777" w:rsidR="008B1C66" w:rsidRDefault="00F0363E">
      <w:pPr>
        <w:numPr>
          <w:ilvl w:val="0"/>
          <w:numId w:val="17"/>
        </w:numPr>
        <w:spacing w:after="120" w:line="276" w:lineRule="auto"/>
        <w:ind w:left="567" w:hanging="425"/>
        <w:jc w:val="both"/>
        <w:rPr>
          <w:rFonts w:cs="Times New Roman"/>
        </w:rPr>
      </w:pPr>
      <w:r>
        <w:rPr>
          <w:rFonts w:cs="Times New Roman"/>
          <w:b/>
        </w:rPr>
        <w:t>ustawa o RLKS</w:t>
      </w:r>
      <w:r>
        <w:rPr>
          <w:rFonts w:cs="Times New Roman"/>
        </w:rPr>
        <w:t xml:space="preserve"> – oznacza ustawę z dnia 20 lutego 2015 r. o rozwoju lokalnym z udziałem lokalnej społeczności (</w:t>
      </w:r>
      <w:bookmarkStart w:id="0" w:name="_Hlk492460117"/>
      <w:r>
        <w:rPr>
          <w:rFonts w:cs="Times New Roman"/>
        </w:rPr>
        <w:t xml:space="preserve">Dz. U. z </w:t>
      </w:r>
      <w:r>
        <w:t>2023 r. poz. 1554</w:t>
      </w:r>
      <w:bookmarkEnd w:id="0"/>
      <w:r>
        <w:rPr>
          <w:rFonts w:cs="Times New Roman"/>
        </w:rPr>
        <w:t>);</w:t>
      </w:r>
    </w:p>
    <w:p w14:paraId="5564A45D" w14:textId="77777777" w:rsidR="008B1C66" w:rsidRDefault="00F0363E">
      <w:pPr>
        <w:numPr>
          <w:ilvl w:val="0"/>
          <w:numId w:val="17"/>
        </w:numPr>
        <w:spacing w:after="120" w:line="276" w:lineRule="auto"/>
        <w:ind w:left="567" w:hanging="425"/>
        <w:jc w:val="both"/>
        <w:rPr>
          <w:rFonts w:cs="Times New Roman"/>
          <w:bCs/>
        </w:rPr>
      </w:pPr>
      <w:r>
        <w:rPr>
          <w:rFonts w:cs="Times New Roman"/>
          <w:b/>
        </w:rPr>
        <w:t>ustawa o PS WPR</w:t>
      </w:r>
      <w:r>
        <w:rPr>
          <w:rFonts w:cs="Times New Roman"/>
          <w:bCs/>
        </w:rPr>
        <w:t xml:space="preserve"> – oznacza ustawę z dnia 8 lutego 2023 r. o Planie Strategicznym dla Wspólnej Polityki Rolnej na lata 2023–2027 (Dz. U. z 2024 r. poz. 261);</w:t>
      </w:r>
    </w:p>
    <w:p w14:paraId="5564A45E" w14:textId="77777777" w:rsidR="008B1C66" w:rsidRDefault="00F0363E">
      <w:pPr>
        <w:numPr>
          <w:ilvl w:val="0"/>
          <w:numId w:val="17"/>
        </w:numPr>
        <w:spacing w:after="120" w:line="276" w:lineRule="auto"/>
        <w:ind w:left="567" w:hanging="425"/>
        <w:jc w:val="both"/>
        <w:rPr>
          <w:rFonts w:cs="Times New Roman"/>
          <w:bCs/>
        </w:rPr>
      </w:pPr>
      <w:r>
        <w:rPr>
          <w:rFonts w:cs="Times New Roman"/>
          <w:b/>
        </w:rPr>
        <w:t>Wytyczne podstawowe</w:t>
      </w:r>
      <w:r>
        <w:rPr>
          <w:rFonts w:cs="Times New Roman"/>
          <w:bCs/>
        </w:rPr>
        <w:t xml:space="preserve"> – oznacza Wytyczne podstawowe w zakresie pomocy finansowej w ramach Planu Strategicznego dla Wspólnej Polityki Rolnej na lata 2023–2027 z dnia 14 sierpnia 2023 r., wydane przez Ministra Rolnictwa i Rozwoju Wsi na podstawie art. 6 ust. 2 pkt 3 ustawy o PS WPR</w:t>
      </w:r>
    </w:p>
    <w:p w14:paraId="5564A45F" w14:textId="77777777" w:rsidR="008B1C66" w:rsidRDefault="00F0363E">
      <w:pPr>
        <w:numPr>
          <w:ilvl w:val="0"/>
          <w:numId w:val="17"/>
        </w:numPr>
        <w:spacing w:after="120" w:line="276" w:lineRule="auto"/>
        <w:ind w:left="567" w:hanging="425"/>
        <w:jc w:val="both"/>
        <w:rPr>
          <w:rFonts w:cs="Times New Roman"/>
          <w:bCs/>
        </w:rPr>
      </w:pPr>
      <w:r>
        <w:rPr>
          <w:rFonts w:cs="Times New Roman"/>
          <w:b/>
        </w:rPr>
        <w:t>Wytyczne szczegółowe</w:t>
      </w:r>
      <w:r>
        <w:rPr>
          <w:rFonts w:cs="Times New Roman"/>
          <w:bCs/>
        </w:rPr>
        <w:t xml:space="preserve"> – oznacza Wytyczne szczegółowe w zakresie przyznawania i wypłaty pomocy finansowej w ramach Planu Strategicznego dla Wspólnej Polityki Rolnej na lata </w:t>
      </w:r>
      <w:r>
        <w:rPr>
          <w:rFonts w:cs="Times New Roman"/>
          <w:bCs/>
        </w:rPr>
        <w:br/>
        <w:t xml:space="preserve">2023–2027 dla interwencji I.13.1 LEADER/Rozwój Lokalny Kierowany przez Społeczność (RLKS) – komponent Wdrażanie LSR z dnia 28 marca 2024 r., </w:t>
      </w:r>
      <w:bookmarkStart w:id="1" w:name="_Hlk165436976"/>
      <w:r>
        <w:rPr>
          <w:rFonts w:cs="Times New Roman"/>
          <w:bCs/>
        </w:rPr>
        <w:t>wydane przez Ministra Rolnictwa i Rozwoju Wsi na podstawie art. 6 ust. 2 pkt 3 ustawy o PS WPR</w:t>
      </w:r>
      <w:bookmarkEnd w:id="1"/>
      <w:r>
        <w:rPr>
          <w:rFonts w:cs="Times New Roman"/>
          <w:bCs/>
        </w:rPr>
        <w:t>;</w:t>
      </w:r>
    </w:p>
    <w:p w14:paraId="5564A460" w14:textId="77777777" w:rsidR="008B1C66" w:rsidRDefault="00F0363E">
      <w:pPr>
        <w:numPr>
          <w:ilvl w:val="0"/>
          <w:numId w:val="17"/>
        </w:numPr>
        <w:spacing w:after="120" w:line="276" w:lineRule="auto"/>
        <w:ind w:left="567" w:hanging="425"/>
        <w:jc w:val="both"/>
        <w:rPr>
          <w:rFonts w:cs="Times New Roman"/>
          <w:bCs/>
        </w:rPr>
      </w:pPr>
      <w:r>
        <w:rPr>
          <w:rFonts w:cs="Times New Roman"/>
          <w:b/>
        </w:rPr>
        <w:t xml:space="preserve">Wytyczne grantowe </w:t>
      </w:r>
      <w:r>
        <w:rPr>
          <w:rFonts w:cs="Times New Roman"/>
          <w:bCs/>
        </w:rPr>
        <w:t>– oznacza Wytyczne szczegółowe w zakresie przygotowania i realizacji projektów grantowych w ramach Planu Strategicznego dla Wspólnej Polityki Rolnej na lata 2023–2027 dla interwencji I.13.1 LEADER/Rozwój Lokalny Kierowany przez Społeczność (RLKS) – komponent Wdrażanie LSR z dnia 12 kwietnia 2024 r., wydane przez Ministra Rolnictwa i Rozwoju Wsi na podstawie art. 6 ust. 2 pkt 3 ustawy o PS WPR;</w:t>
      </w:r>
    </w:p>
    <w:p w14:paraId="5564A461" w14:textId="77777777" w:rsidR="008B1C66" w:rsidRDefault="00F0363E">
      <w:pPr>
        <w:numPr>
          <w:ilvl w:val="0"/>
          <w:numId w:val="17"/>
        </w:numPr>
        <w:spacing w:after="120" w:line="276" w:lineRule="auto"/>
        <w:ind w:left="567" w:hanging="425"/>
        <w:jc w:val="both"/>
        <w:rPr>
          <w:rFonts w:cs="Times New Roman"/>
          <w:bCs/>
        </w:rPr>
      </w:pPr>
      <w:r>
        <w:rPr>
          <w:rFonts w:cs="Times New Roman"/>
          <w:b/>
        </w:rPr>
        <w:t>PS WPR</w:t>
      </w:r>
      <w:r>
        <w:rPr>
          <w:rFonts w:cs="Times New Roman"/>
          <w:bCs/>
        </w:rPr>
        <w:t xml:space="preserve"> – oznacza Plan Strategiczny dla Wspólnej Polityki Rolnej na lata 2023–2027;</w:t>
      </w:r>
    </w:p>
    <w:p w14:paraId="5564A462" w14:textId="77777777" w:rsidR="008B1C66" w:rsidRDefault="00F0363E">
      <w:pPr>
        <w:numPr>
          <w:ilvl w:val="0"/>
          <w:numId w:val="17"/>
        </w:numPr>
        <w:spacing w:after="120" w:line="276" w:lineRule="auto"/>
        <w:ind w:left="567" w:hanging="425"/>
        <w:jc w:val="both"/>
        <w:rPr>
          <w:rFonts w:cs="Times New Roman"/>
          <w:bCs/>
        </w:rPr>
      </w:pPr>
      <w:r>
        <w:rPr>
          <w:rFonts w:cs="Times New Roman"/>
          <w:b/>
        </w:rPr>
        <w:t>wniosek</w:t>
      </w:r>
      <w:r>
        <w:rPr>
          <w:rFonts w:cs="Times New Roman"/>
          <w:bCs/>
        </w:rPr>
        <w:t xml:space="preserve"> – oznacza wniosek o wsparcie, o którym mowa w ustawie o RLKS, lub – jeżeli nic innego nie wynika z innych postanowień Regulaminu – wniosek o powierzenie grantu w ramach realizacji przez LGD projektu grantowego;</w:t>
      </w:r>
    </w:p>
    <w:p w14:paraId="5564A463" w14:textId="77777777" w:rsidR="008B1C66" w:rsidRDefault="00F0363E">
      <w:pPr>
        <w:numPr>
          <w:ilvl w:val="0"/>
          <w:numId w:val="17"/>
        </w:numPr>
        <w:spacing w:after="120" w:line="276" w:lineRule="auto"/>
        <w:ind w:left="567" w:hanging="425"/>
        <w:jc w:val="both"/>
        <w:rPr>
          <w:rFonts w:cs="Times New Roman"/>
          <w:bCs/>
        </w:rPr>
      </w:pPr>
      <w:r>
        <w:rPr>
          <w:rFonts w:cs="Times New Roman"/>
          <w:b/>
        </w:rPr>
        <w:t>nabór wniosków</w:t>
      </w:r>
      <w:r>
        <w:rPr>
          <w:rFonts w:cs="Times New Roman"/>
          <w:bCs/>
        </w:rPr>
        <w:t xml:space="preserve"> – oznacza przeprowadzany przez LGD w ramach realizacji LSR, zgodnie z ustawą o RLKS i Wytycznymi podstawowymi i szczegółowymi, nabór wniosków na realizację operacji lub – jeżeli nic innego nie wynika z innych postanowień Regulaminu –konkurs na wybór grantobiorców w ramach realizacji przez LGD projektu grantowego;</w:t>
      </w:r>
    </w:p>
    <w:p w14:paraId="5564A464" w14:textId="77777777" w:rsidR="008B1C66" w:rsidRDefault="00F0363E">
      <w:pPr>
        <w:numPr>
          <w:ilvl w:val="0"/>
          <w:numId w:val="17"/>
        </w:numPr>
        <w:spacing w:after="120" w:line="276" w:lineRule="auto"/>
        <w:ind w:left="567" w:hanging="425"/>
        <w:jc w:val="both"/>
        <w:rPr>
          <w:rFonts w:cs="Times New Roman"/>
          <w:bCs/>
        </w:rPr>
      </w:pPr>
      <w:r>
        <w:rPr>
          <w:rFonts w:cs="Times New Roman"/>
          <w:b/>
        </w:rPr>
        <w:t>operacja</w:t>
      </w:r>
      <w:r>
        <w:rPr>
          <w:rFonts w:cs="Times New Roman"/>
          <w:bCs/>
        </w:rPr>
        <w:t xml:space="preserve"> – oznacza objętą wnioskiem złożonym w naborze wniosków operację w rozumieniu art. 2 pkt 4 rozporządzenia 2021/1060, a także – jeżeli nic innego nie wynika z innych postanowień Regulaminu – zadanie objęte wnioskiem o powierzenie grantu, złożonym w ramach konkursu przeprowadzanego przez LGD w związku z realizacją projektu grantowego;</w:t>
      </w:r>
    </w:p>
    <w:p w14:paraId="5564A465" w14:textId="77777777" w:rsidR="008B1C66" w:rsidRDefault="00F0363E">
      <w:pPr>
        <w:numPr>
          <w:ilvl w:val="0"/>
          <w:numId w:val="17"/>
        </w:numPr>
        <w:spacing w:after="120" w:line="276" w:lineRule="auto"/>
        <w:ind w:left="567" w:hanging="425"/>
        <w:jc w:val="both"/>
        <w:rPr>
          <w:rFonts w:cs="Times New Roman"/>
          <w:bCs/>
        </w:rPr>
      </w:pPr>
      <w:r>
        <w:rPr>
          <w:rFonts w:cs="Times New Roman"/>
          <w:b/>
        </w:rPr>
        <w:t>projekt grantowy</w:t>
      </w:r>
      <w:r>
        <w:rPr>
          <w:rFonts w:cs="Times New Roman"/>
          <w:bCs/>
        </w:rPr>
        <w:t xml:space="preserve"> – oznacza operację realizowaną w ramach LSR, w której beneficjent będący LGD udziela innym podmiotom wybranym przez LGD (grantobiorcom), w wyniku rozstrzygnięcia konkursu, grantów na realizację zadań służących osiągnięciu celu tej operacji;</w:t>
      </w:r>
    </w:p>
    <w:p w14:paraId="5564A466" w14:textId="77777777" w:rsidR="008B1C66" w:rsidRDefault="00F0363E">
      <w:pPr>
        <w:numPr>
          <w:ilvl w:val="0"/>
          <w:numId w:val="17"/>
        </w:numPr>
        <w:spacing w:after="120" w:line="276" w:lineRule="auto"/>
        <w:ind w:left="567" w:hanging="425"/>
        <w:jc w:val="both"/>
        <w:rPr>
          <w:rFonts w:cs="Times New Roman"/>
          <w:bCs/>
        </w:rPr>
      </w:pPr>
      <w:r>
        <w:rPr>
          <w:rFonts w:cs="Times New Roman"/>
          <w:b/>
        </w:rPr>
        <w:t>operacja własna LGD</w:t>
      </w:r>
      <w:r>
        <w:rPr>
          <w:rFonts w:cs="Times New Roman"/>
          <w:bCs/>
        </w:rPr>
        <w:t xml:space="preserve"> – oznacza operację, o której mowa w art. 17 ust. 3 pkt 2 ustawy o RLKS, czyli operację, która jest realizowana samodzielnie przez LGD, objętą wnioskiem złożonym przez LGD w ramach naboru wniosków;</w:t>
      </w:r>
    </w:p>
    <w:p w14:paraId="5564A467" w14:textId="77777777" w:rsidR="008B1C66" w:rsidRDefault="00F0363E">
      <w:pPr>
        <w:numPr>
          <w:ilvl w:val="0"/>
          <w:numId w:val="17"/>
        </w:numPr>
        <w:spacing w:after="120" w:line="276" w:lineRule="auto"/>
        <w:ind w:left="567" w:hanging="425"/>
        <w:jc w:val="both"/>
        <w:rPr>
          <w:rFonts w:cs="Times New Roman"/>
          <w:bCs/>
        </w:rPr>
      </w:pPr>
      <w:r>
        <w:rPr>
          <w:rFonts w:cs="Times New Roman"/>
          <w:b/>
        </w:rPr>
        <w:t xml:space="preserve">rejestr interesów </w:t>
      </w:r>
      <w:r>
        <w:rPr>
          <w:rFonts w:cs="Times New Roman"/>
          <w:bCs/>
        </w:rPr>
        <w:t xml:space="preserve">– rejestr powiązań członków Rady z potencjalnymi wnioskodawcami z tytułu przynależności do grupy interesu. </w:t>
      </w:r>
      <w:r>
        <w:rPr>
          <w:rFonts w:cs="Times New Roman"/>
          <w:b/>
        </w:rPr>
        <w:t xml:space="preserve">Grupa interesu </w:t>
      </w:r>
      <w:r>
        <w:rPr>
          <w:rFonts w:cs="Times New Roman"/>
          <w:bCs/>
        </w:rPr>
        <w:t xml:space="preserve">to grupa jednostek połączonych więzami wspólnych interesów lub korzyści, której członkowie mają świadomość istnienia tych więzów. </w:t>
      </w:r>
      <w:r>
        <w:rPr>
          <w:rFonts w:cs="Times New Roman"/>
          <w:bCs/>
        </w:rPr>
        <w:lastRenderedPageBreak/>
        <w:t>Rejestr interesów jest narzędziem pomocniczym pozwalającym zapewnić bezstronność wyboru.</w:t>
      </w:r>
    </w:p>
    <w:p w14:paraId="5564A468" w14:textId="77777777" w:rsidR="008B1C66" w:rsidRDefault="00F0363E">
      <w:pPr>
        <w:numPr>
          <w:ilvl w:val="0"/>
          <w:numId w:val="17"/>
        </w:numPr>
        <w:spacing w:after="120" w:line="276" w:lineRule="auto"/>
        <w:ind w:left="567" w:hanging="425"/>
        <w:jc w:val="both"/>
        <w:rPr>
          <w:rFonts w:cs="Times New Roman"/>
          <w:bCs/>
        </w:rPr>
      </w:pPr>
      <w:r>
        <w:rPr>
          <w:rFonts w:cs="Times New Roman"/>
          <w:b/>
        </w:rPr>
        <w:t>LSR</w:t>
      </w:r>
      <w:r>
        <w:rPr>
          <w:rFonts w:cs="Times New Roman"/>
          <w:bCs/>
        </w:rPr>
        <w:t xml:space="preserve"> – oznacza lokalną strategię rozwoju realizowaną przez LGD na podstawie umowy zawartej z Samorządem Województwa Opolskiego;</w:t>
      </w:r>
    </w:p>
    <w:p w14:paraId="5564A469" w14:textId="77777777" w:rsidR="008B1C66" w:rsidRDefault="00F0363E">
      <w:pPr>
        <w:numPr>
          <w:ilvl w:val="0"/>
          <w:numId w:val="17"/>
        </w:numPr>
        <w:spacing w:after="120" w:line="276" w:lineRule="auto"/>
        <w:ind w:left="567" w:hanging="425"/>
        <w:jc w:val="both"/>
        <w:rPr>
          <w:rFonts w:cs="Times New Roman"/>
          <w:bCs/>
        </w:rPr>
      </w:pPr>
      <w:r>
        <w:rPr>
          <w:rFonts w:cs="Times New Roman"/>
          <w:b/>
        </w:rPr>
        <w:t>Zarząd Województwa</w:t>
      </w:r>
      <w:r>
        <w:rPr>
          <w:rFonts w:cs="Times New Roman"/>
          <w:bCs/>
        </w:rPr>
        <w:t xml:space="preserve"> – oznacza Zarząd Województwa Opolskiego, realizujący w ramach Procedury zadania przypisane zarządowi województwa w ustawie o RLKS;</w:t>
      </w:r>
    </w:p>
    <w:p w14:paraId="5564A46A" w14:textId="77777777" w:rsidR="008B1C66" w:rsidRDefault="00F0363E">
      <w:pPr>
        <w:numPr>
          <w:ilvl w:val="0"/>
          <w:numId w:val="17"/>
        </w:numPr>
        <w:spacing w:after="120" w:line="276" w:lineRule="auto"/>
        <w:ind w:left="567" w:hanging="425"/>
        <w:jc w:val="both"/>
        <w:rPr>
          <w:rFonts w:cs="Times New Roman"/>
          <w:bCs/>
        </w:rPr>
      </w:pPr>
      <w:r>
        <w:rPr>
          <w:rFonts w:cs="Times New Roman"/>
          <w:b/>
        </w:rPr>
        <w:t>system IT</w:t>
      </w:r>
      <w:r>
        <w:rPr>
          <w:rFonts w:cs="Times New Roman"/>
          <w:bCs/>
        </w:rPr>
        <w:t xml:space="preserve"> – oznacza system teleinformatyczny Agencji Restrukturyzacji i Modernizacji Rolnictwa, o którym mowa w ustawie o PS WPR;</w:t>
      </w:r>
    </w:p>
    <w:p w14:paraId="5564A46B" w14:textId="77777777" w:rsidR="008B1C66" w:rsidRDefault="00F0363E">
      <w:pPr>
        <w:numPr>
          <w:ilvl w:val="0"/>
          <w:numId w:val="17"/>
        </w:numPr>
        <w:spacing w:after="120" w:line="276" w:lineRule="auto"/>
        <w:ind w:left="567" w:hanging="425"/>
        <w:jc w:val="both"/>
        <w:rPr>
          <w:rFonts w:cs="Times New Roman"/>
          <w:bCs/>
        </w:rPr>
      </w:pPr>
      <w:r>
        <w:rPr>
          <w:rFonts w:cs="Times New Roman"/>
          <w:b/>
          <w:bCs/>
          <w:color w:val="000000"/>
        </w:rPr>
        <w:t>system informatyczny LGD</w:t>
      </w:r>
      <w:r>
        <w:rPr>
          <w:rFonts w:cs="Times New Roman"/>
          <w:color w:val="000000"/>
        </w:rPr>
        <w:t xml:space="preserve"> – oznacza komercyjny program komputerowy wykorzystywany przez LGD do oceny wniosków, przy pomocy którego Członkowie Rady w szczególności dokonują wyboru operacji i ustalenia kwoty wsparcia.</w:t>
      </w:r>
    </w:p>
    <w:p w14:paraId="5564A46C" w14:textId="77777777" w:rsidR="008B1C66" w:rsidRDefault="008B1C66">
      <w:pPr>
        <w:spacing w:line="276" w:lineRule="auto"/>
        <w:rPr>
          <w:rFonts w:cs="Times New Roman"/>
        </w:rPr>
      </w:pPr>
    </w:p>
    <w:p w14:paraId="5564A46D" w14:textId="77777777" w:rsidR="008B1C66" w:rsidRDefault="008B1C66">
      <w:pPr>
        <w:spacing w:line="276" w:lineRule="auto"/>
        <w:rPr>
          <w:rFonts w:cs="Times New Roman"/>
        </w:rPr>
      </w:pPr>
    </w:p>
    <w:p w14:paraId="5564A46E" w14:textId="77777777" w:rsidR="008B1C66" w:rsidRDefault="00F0363E">
      <w:pPr>
        <w:spacing w:after="120" w:line="276" w:lineRule="auto"/>
        <w:jc w:val="center"/>
        <w:rPr>
          <w:rFonts w:cs="Times New Roman"/>
        </w:rPr>
      </w:pPr>
      <w:r>
        <w:rPr>
          <w:rFonts w:cs="Times New Roman"/>
          <w:b/>
          <w:bCs/>
        </w:rPr>
        <w:t>ROZDZIAŁ II</w:t>
      </w:r>
    </w:p>
    <w:p w14:paraId="5564A46F" w14:textId="77777777" w:rsidR="008B1C66" w:rsidRDefault="00F0363E">
      <w:pPr>
        <w:spacing w:after="120" w:line="276" w:lineRule="auto"/>
        <w:jc w:val="center"/>
        <w:rPr>
          <w:rFonts w:cs="Times New Roman"/>
          <w:b/>
        </w:rPr>
      </w:pPr>
      <w:r>
        <w:rPr>
          <w:rFonts w:cs="Times New Roman"/>
          <w:b/>
        </w:rPr>
        <w:t>Członkowie Rady</w:t>
      </w:r>
    </w:p>
    <w:p w14:paraId="5564A470" w14:textId="77777777" w:rsidR="008B1C66" w:rsidRDefault="00F0363E">
      <w:pPr>
        <w:spacing w:after="120" w:line="276" w:lineRule="auto"/>
        <w:jc w:val="center"/>
        <w:rPr>
          <w:rFonts w:cs="Times New Roman"/>
          <w:b/>
        </w:rPr>
      </w:pPr>
      <w:r>
        <w:rPr>
          <w:rFonts w:cs="Times New Roman"/>
          <w:b/>
        </w:rPr>
        <w:t>§ 3</w:t>
      </w:r>
    </w:p>
    <w:p w14:paraId="5564A471" w14:textId="77777777" w:rsidR="008B1C66" w:rsidRDefault="00F0363E">
      <w:pPr>
        <w:numPr>
          <w:ilvl w:val="0"/>
          <w:numId w:val="22"/>
        </w:numPr>
        <w:spacing w:after="120" w:line="276" w:lineRule="auto"/>
        <w:ind w:left="426" w:hanging="426"/>
        <w:jc w:val="both"/>
        <w:rPr>
          <w:rFonts w:cs="Times New Roman"/>
        </w:rPr>
      </w:pPr>
      <w:r>
        <w:rPr>
          <w:rFonts w:cs="Times New Roman"/>
        </w:rPr>
        <w:t>Członkowie Rady s</w:t>
      </w:r>
      <w:r>
        <w:rPr>
          <w:rFonts w:eastAsia="Times New Roman" w:cs="Times New Roman"/>
        </w:rPr>
        <w:t xml:space="preserve">ą </w:t>
      </w:r>
      <w:r>
        <w:rPr>
          <w:rFonts w:cs="Times New Roman"/>
        </w:rPr>
        <w:t>wybierani przez Walne Zebranie Członków LGD spo</w:t>
      </w:r>
      <w:r>
        <w:rPr>
          <w:rFonts w:eastAsia="Times New Roman" w:cs="Times New Roman"/>
        </w:rPr>
        <w:t>ś</w:t>
      </w:r>
      <w:r>
        <w:rPr>
          <w:rFonts w:cs="Times New Roman"/>
        </w:rPr>
        <w:t xml:space="preserve">ród członków Stowarzyszenia. </w:t>
      </w:r>
    </w:p>
    <w:p w14:paraId="5564A472" w14:textId="77777777" w:rsidR="008B1C66" w:rsidRDefault="00F0363E">
      <w:pPr>
        <w:numPr>
          <w:ilvl w:val="0"/>
          <w:numId w:val="22"/>
        </w:numPr>
        <w:spacing w:after="120" w:line="276" w:lineRule="auto"/>
        <w:ind w:left="426" w:hanging="426"/>
        <w:jc w:val="both"/>
        <w:rPr>
          <w:rFonts w:cs="Times New Roman"/>
        </w:rPr>
      </w:pPr>
      <w:r>
        <w:rPr>
          <w:rFonts w:cs="Times New Roman"/>
        </w:rPr>
        <w:t xml:space="preserve">Członek Stowarzyszenia będący osobą prawną i wybrany do Rady, działa w Radzie poprzez tylko jedną osobę fizyczną: </w:t>
      </w:r>
      <w:r>
        <w:rPr>
          <w:rFonts w:eastAsia="Times New Roman" w:cs="Times New Roman"/>
        </w:rPr>
        <w:t>jednoosobowy organ uprawniony do reprezentowania tej osoby prawnej albo przez należycie umocowanego pełnomocnika</w:t>
      </w:r>
      <w:r>
        <w:rPr>
          <w:rFonts w:cs="Times New Roman"/>
        </w:rPr>
        <w:t>, wyznaczonego na okres całej kadencji Rady. Zmiana osoby fizycznej, która reprezentuje członka Stowarzyszenia będącego osobą prawną w pracach Rady w okresie kadencji Rady możliwa jest jedynie wyjątkowo i wymaga pisemnego oświadczenia członka Stowarzyszenia, odwołującego umocowanie dla dotychczasowej osoby fizycznej, udzielającego umocowania dla nowej osoby fizycznej oraz wskazującego przyczynę dokonanej zmiany. Do czasu złożenia takiego oświadczenia dotychczasowa osoba fizyczna jest umocowana do działania w imieniu członka Stowarzyszenia w pracach Rady.</w:t>
      </w:r>
    </w:p>
    <w:p w14:paraId="5564A473" w14:textId="77777777" w:rsidR="008B1C66" w:rsidRDefault="00F0363E">
      <w:pPr>
        <w:numPr>
          <w:ilvl w:val="0"/>
          <w:numId w:val="22"/>
        </w:numPr>
        <w:spacing w:after="120" w:line="276" w:lineRule="auto"/>
        <w:ind w:left="426" w:hanging="426"/>
        <w:jc w:val="both"/>
        <w:rPr>
          <w:rFonts w:cs="Times New Roman"/>
        </w:rPr>
      </w:pPr>
      <w:r>
        <w:rPr>
          <w:rFonts w:cs="Times New Roman"/>
        </w:rPr>
        <w:t>Członek Rady lub osoba wyznaczona do reprezentowania osoby prawnej w Radzie może przystąpić do prac w tym organie wyłącznie po zakończeniu z pozytywnym wynikiem pisemnego egzaminu ze znajomości LSR, procedur wyboru operacji, i kryteriów ich oceny, regulaminu, Wytycznych podstawowych i Wytycznych szczegółowych.</w:t>
      </w:r>
    </w:p>
    <w:p w14:paraId="5564A474" w14:textId="77777777" w:rsidR="008B1C66" w:rsidRDefault="00F0363E">
      <w:pPr>
        <w:numPr>
          <w:ilvl w:val="0"/>
          <w:numId w:val="22"/>
        </w:numPr>
        <w:spacing w:after="120" w:line="276" w:lineRule="auto"/>
        <w:ind w:left="426" w:hanging="426"/>
        <w:jc w:val="both"/>
        <w:rPr>
          <w:rFonts w:cs="Times New Roman"/>
        </w:rPr>
      </w:pPr>
      <w:r>
        <w:rPr>
          <w:rFonts w:cs="Times New Roman"/>
        </w:rPr>
        <w:t>Egzamin, o którym mowa w ust. 3, przeprowadzany jest przez Zarząd LGD w terminie 2 miesięcy od dnia dokonania wyboru danego Członka Rady lub wyznaczenia osoby fizycznej do reprezentowania danego Członka Rady, przy czym nie wcześniej niż w terminie 2 miesięcy od dnia zawarcia przez LGD z Samorządem Województwa Opolskiego umowy ramowej dotyczącej realizacji LSR na daną perspektywę finansową.</w:t>
      </w:r>
    </w:p>
    <w:p w14:paraId="5564A475" w14:textId="77777777" w:rsidR="008B1C66" w:rsidRDefault="00F0363E">
      <w:pPr>
        <w:numPr>
          <w:ilvl w:val="0"/>
          <w:numId w:val="22"/>
        </w:numPr>
        <w:spacing w:after="120" w:line="276" w:lineRule="auto"/>
        <w:ind w:left="426" w:hanging="426"/>
        <w:jc w:val="both"/>
        <w:rPr>
          <w:rFonts w:cs="Times New Roman"/>
        </w:rPr>
      </w:pPr>
      <w:r>
        <w:rPr>
          <w:rFonts w:cs="Times New Roman"/>
        </w:rPr>
        <w:t>Egzamin, o którym mowa w ust. 3, ma formę testową. Dla uzyskania pozytywnego wyniku z egzaminu konieczne jest uzyskanie co najmniej 50% punktów możliwych do zdobycia. Dwukrotne nieuzyskanie przez Członka Rady pozytywnego wyniku z egzaminu, o którym mowa w ust. 3, skutkuje podjęciem przez Zarząd działań zmierzających do odwołania tego Członka Rady.</w:t>
      </w:r>
    </w:p>
    <w:p w14:paraId="5564A476" w14:textId="77777777" w:rsidR="008B1C66" w:rsidRDefault="00F0363E">
      <w:pPr>
        <w:numPr>
          <w:ilvl w:val="0"/>
          <w:numId w:val="22"/>
        </w:numPr>
        <w:spacing w:after="120" w:line="276" w:lineRule="auto"/>
        <w:ind w:left="426" w:hanging="426"/>
        <w:jc w:val="both"/>
        <w:rPr>
          <w:rFonts w:cs="Times New Roman"/>
        </w:rPr>
      </w:pPr>
      <w:r>
        <w:rPr>
          <w:rFonts w:cs="Times New Roman"/>
        </w:rPr>
        <w:lastRenderedPageBreak/>
        <w:t>Niezależnie od egzaminu, o którym mowa w ust. 3, Zarząd może przeprowadzać okresowe egzaminy, którego zakres i zasady zaliczenia są analogiczne jak egzaminu, o którym mowa w ust. 3. Nieuzyskanie przez Członka Rady pozytywnego wyniku z egzaminu skutkować może utratą przez Członka Rady prawa do wynagrodzenia za udział w pracach Rady albo podjęciem przez Zarząd działań zmierzających do odwołania danego Członka Rady.</w:t>
      </w:r>
    </w:p>
    <w:p w14:paraId="187EDE6B" w14:textId="05605927" w:rsidR="00456BF6" w:rsidRPr="00B703B7" w:rsidRDefault="00456BF6" w:rsidP="00B703B7">
      <w:pPr>
        <w:numPr>
          <w:ilvl w:val="0"/>
          <w:numId w:val="22"/>
        </w:numPr>
        <w:spacing w:after="120" w:line="276" w:lineRule="auto"/>
        <w:ind w:left="426" w:hanging="426"/>
        <w:jc w:val="both"/>
        <w:rPr>
          <w:rFonts w:cs="Times New Roman"/>
        </w:rPr>
      </w:pPr>
      <w:r w:rsidRPr="00B703B7">
        <w:rPr>
          <w:color w:val="FF0000"/>
        </w:rPr>
        <w:t>Członkom Rady zabrania się świadczenia odpłatnego doradztwa na rzecz podmiotów ubiegających się o wsparcie realizacji operacji lub o powierzenie grantu w ramach wdrażanej Lokalnej Strategii Rozwoju (LSR), której realizatorem jest LGD.</w:t>
      </w:r>
    </w:p>
    <w:p w14:paraId="5564A477" w14:textId="77777777" w:rsidR="008B1C66" w:rsidRDefault="00F0363E">
      <w:pPr>
        <w:numPr>
          <w:ilvl w:val="0"/>
          <w:numId w:val="22"/>
        </w:numPr>
        <w:spacing w:after="120" w:line="276" w:lineRule="auto"/>
        <w:ind w:left="426" w:hanging="426"/>
        <w:jc w:val="both"/>
        <w:rPr>
          <w:rFonts w:cs="Times New Roman"/>
        </w:rPr>
      </w:pPr>
      <w:r>
        <w:rPr>
          <w:rFonts w:cs="Times New Roman"/>
          <w:iCs/>
        </w:rPr>
        <w:t>Wykonywanie funkcji Członka Rady, w szczególności dokonywanie oceny operacji, nie jest możliwe przed:</w:t>
      </w:r>
    </w:p>
    <w:p w14:paraId="5564A478" w14:textId="77777777" w:rsidR="008B1C66" w:rsidRDefault="00F0363E">
      <w:pPr>
        <w:pStyle w:val="Akapitzlist"/>
        <w:numPr>
          <w:ilvl w:val="0"/>
          <w:numId w:val="38"/>
        </w:numPr>
        <w:spacing w:after="120" w:line="276" w:lineRule="auto"/>
        <w:ind w:left="851" w:hanging="425"/>
        <w:jc w:val="both"/>
        <w:rPr>
          <w:rFonts w:cs="Times New Roman"/>
        </w:rPr>
      </w:pPr>
      <w:r>
        <w:rPr>
          <w:rFonts w:cs="Times New Roman"/>
          <w:iCs/>
        </w:rPr>
        <w:t>wskazaniem w Rejestrze Interesów, o którym mowa w ust. 12, sektora, który reprezentuje dany Członek Rady, a także spraw i interesów, w które jest on zaangażowany i które mogą potencjalnie wpływać na jego bezstronność, w szczególności dotyczące stosunków majątkowych, członkostwa w organizacjach społecznych, udziałach w spółkach, umowach, których stroną jest Członek Rady, a które wiążą się ze zobowiązaniami o znacznej wartości oraz</w:t>
      </w:r>
    </w:p>
    <w:p w14:paraId="5564A479" w14:textId="77777777" w:rsidR="008B1C66" w:rsidRDefault="00F0363E">
      <w:pPr>
        <w:pStyle w:val="Akapitzlist"/>
        <w:numPr>
          <w:ilvl w:val="0"/>
          <w:numId w:val="38"/>
        </w:numPr>
        <w:spacing w:after="120" w:line="276" w:lineRule="auto"/>
        <w:ind w:left="851" w:hanging="425"/>
        <w:jc w:val="both"/>
        <w:rPr>
          <w:rFonts w:cs="Times New Roman"/>
        </w:rPr>
      </w:pPr>
      <w:r>
        <w:rPr>
          <w:rFonts w:cs="Times New Roman"/>
          <w:iCs/>
        </w:rPr>
        <w:t>wypełnieniem pierwszej deklaracji bezstronności.</w:t>
      </w:r>
    </w:p>
    <w:p w14:paraId="5564A47A" w14:textId="77777777" w:rsidR="008B1C66" w:rsidRDefault="00F0363E">
      <w:pPr>
        <w:spacing w:after="120" w:line="276" w:lineRule="auto"/>
        <w:ind w:left="426"/>
        <w:jc w:val="both"/>
        <w:rPr>
          <w:rFonts w:cs="Times New Roman"/>
        </w:rPr>
      </w:pPr>
      <w:r>
        <w:rPr>
          <w:rFonts w:cs="Times New Roman"/>
        </w:rPr>
        <w:t>Członek Rady zobowiązany jest do złożenia deklaracji bezstronności na każdym posiedzeniu  Rady.</w:t>
      </w:r>
    </w:p>
    <w:p w14:paraId="5564A47B" w14:textId="77777777" w:rsidR="008B1C66" w:rsidRDefault="00F0363E">
      <w:pPr>
        <w:numPr>
          <w:ilvl w:val="0"/>
          <w:numId w:val="22"/>
        </w:numPr>
        <w:spacing w:after="120" w:line="276" w:lineRule="auto"/>
        <w:ind w:left="426" w:hanging="426"/>
        <w:jc w:val="both"/>
        <w:rPr>
          <w:rFonts w:cs="Times New Roman"/>
        </w:rPr>
      </w:pPr>
      <w:r>
        <w:rPr>
          <w:rFonts w:cs="Times New Roman"/>
        </w:rPr>
        <w:t xml:space="preserve">Deklaracje bezstronności, o których mowa w ust. 7, składane są na formularzu, którego wzór stanowi </w:t>
      </w:r>
      <w:r>
        <w:rPr>
          <w:rFonts w:cs="Times New Roman"/>
          <w:b/>
          <w:bCs/>
        </w:rPr>
        <w:t>załącznik nr 1 do regulaminu</w:t>
      </w:r>
      <w:r>
        <w:rPr>
          <w:rFonts w:cs="Times New Roman"/>
        </w:rPr>
        <w:t>.</w:t>
      </w:r>
    </w:p>
    <w:p w14:paraId="5564A47C" w14:textId="77777777" w:rsidR="008B1C66" w:rsidRDefault="00F0363E">
      <w:pPr>
        <w:numPr>
          <w:ilvl w:val="0"/>
          <w:numId w:val="22"/>
        </w:numPr>
        <w:spacing w:after="120" w:line="276" w:lineRule="auto"/>
        <w:ind w:left="426" w:hanging="426"/>
        <w:jc w:val="both"/>
        <w:rPr>
          <w:rFonts w:cs="Times New Roman"/>
        </w:rPr>
      </w:pPr>
      <w:r>
        <w:rPr>
          <w:rFonts w:cs="Times New Roman"/>
        </w:rPr>
        <w:t>Deklaracje bezstronności, o których mowa w ust. 7, są przechowywane w Biurze. Dostęp do deklaracji bezstronności jest jawny. W przypadku, gdy przepisy prawa wymagają udostępnienie oryginałów deklaracji bezstronności organom administracji, Biuro sporządza na własny użytek kopie tych deklaracji.</w:t>
      </w:r>
    </w:p>
    <w:p w14:paraId="5564A47D" w14:textId="1AA55F9C" w:rsidR="008B1C66" w:rsidRDefault="00F0363E">
      <w:pPr>
        <w:numPr>
          <w:ilvl w:val="0"/>
          <w:numId w:val="22"/>
        </w:numPr>
        <w:spacing w:after="120" w:line="276" w:lineRule="auto"/>
        <w:ind w:left="426" w:hanging="426"/>
        <w:jc w:val="both"/>
        <w:rPr>
          <w:rFonts w:cs="Times New Roman"/>
        </w:rPr>
      </w:pPr>
      <w:r>
        <w:rPr>
          <w:rFonts w:cs="Times New Roman"/>
        </w:rPr>
        <w:t xml:space="preserve">Przed każdym posiedzeniem Rady należy przeanalizować rozkład grup interesu członków biorących udział w posiedzeniu i na podstawie wyników tej analizy dokonać stosownych </w:t>
      </w:r>
      <w:proofErr w:type="spellStart"/>
      <w:r>
        <w:rPr>
          <w:rFonts w:cs="Times New Roman"/>
        </w:rPr>
        <w:t>wył</w:t>
      </w:r>
      <w:r w:rsidR="008A3F48">
        <w:rPr>
          <w:rFonts w:cs="Times New Roman"/>
        </w:rPr>
        <w:t>ą</w:t>
      </w:r>
      <w:r>
        <w:rPr>
          <w:rFonts w:cs="Times New Roman"/>
        </w:rPr>
        <w:t>czeń</w:t>
      </w:r>
      <w:proofErr w:type="spellEnd"/>
      <w:r>
        <w:rPr>
          <w:rFonts w:cs="Times New Roman"/>
        </w:rPr>
        <w:t xml:space="preserve"> z oceny operacji, aby zapewnić, iż żadna z grup interesu nie kontroluje decyzji w sprawie wyboru w rozumieniu art. 31 ust. 2 lit. b i art. 33 ust. 3  lit. b rozporządzenia 2021/1060.</w:t>
      </w:r>
    </w:p>
    <w:p w14:paraId="5564A47E" w14:textId="77777777" w:rsidR="008B1C66" w:rsidRDefault="00F0363E">
      <w:pPr>
        <w:numPr>
          <w:ilvl w:val="0"/>
          <w:numId w:val="22"/>
        </w:numPr>
        <w:spacing w:after="120" w:line="276" w:lineRule="auto"/>
        <w:ind w:left="426" w:hanging="426"/>
        <w:jc w:val="both"/>
        <w:rPr>
          <w:rFonts w:cs="Times New Roman"/>
        </w:rPr>
      </w:pPr>
      <w:r>
        <w:rPr>
          <w:rFonts w:cs="Times New Roman"/>
        </w:rPr>
        <w:t>Członkowie Rady zobowiązani się do podania i aktualizowania informacji na swój temat w Rejestrze Interesów, o którym mowa w ust. 12. Informacje zawarte w Rejestrze Interesów, powinny być, przed każdym posiedzeniem organu decyzyjnego, aktualizowane przez każdego Członka Rady lub przez Zarząd, który posiada informacje dotyczące okoliczności mogących wpływać na bezstronność danego Członka Rady lub na jego przynależność do danej grupy interesu.</w:t>
      </w:r>
    </w:p>
    <w:p w14:paraId="5564A47F" w14:textId="77777777" w:rsidR="008B1C66" w:rsidRDefault="00F0363E">
      <w:pPr>
        <w:numPr>
          <w:ilvl w:val="0"/>
          <w:numId w:val="22"/>
        </w:numPr>
        <w:spacing w:after="120" w:line="276" w:lineRule="auto"/>
        <w:ind w:left="426" w:hanging="426"/>
        <w:jc w:val="both"/>
        <w:rPr>
          <w:rFonts w:cs="Times New Roman"/>
        </w:rPr>
      </w:pPr>
      <w:r>
        <w:rPr>
          <w:rFonts w:cs="Times New Roman"/>
        </w:rPr>
        <w:t xml:space="preserve">Wzór Rejestru Interesów stanowi </w:t>
      </w:r>
      <w:r>
        <w:rPr>
          <w:rFonts w:cs="Times New Roman"/>
          <w:b/>
          <w:bCs/>
        </w:rPr>
        <w:t>załącznik nr 2 do regulaminu</w:t>
      </w:r>
      <w:r>
        <w:rPr>
          <w:rFonts w:cs="Times New Roman"/>
        </w:rPr>
        <w:t xml:space="preserve">. </w:t>
      </w:r>
    </w:p>
    <w:p w14:paraId="5564A480" w14:textId="77777777" w:rsidR="008B1C66" w:rsidRDefault="00F0363E">
      <w:pPr>
        <w:numPr>
          <w:ilvl w:val="0"/>
          <w:numId w:val="22"/>
        </w:numPr>
        <w:spacing w:after="120" w:line="276" w:lineRule="auto"/>
        <w:ind w:left="426" w:hanging="426"/>
        <w:jc w:val="both"/>
        <w:rPr>
          <w:rFonts w:cs="Times New Roman"/>
        </w:rPr>
      </w:pPr>
      <w:r>
        <w:rPr>
          <w:rFonts w:cs="Times New Roman"/>
        </w:rPr>
        <w:t>Rejestr Interesów, o którym mowa w ust. 12, wypełniony przez Członków Rady, przechowywany jest w Biurze. Dostęp do informacji zawartych w Rejestrze Interesów mają wyłącznie członkowie Zarządu, Przewodniczący Rady, wyznaczeni pracownicy Biura oraz osoby lub organy, które na podstawie odrębnych przepisów prawa powszechnie obowiązującego są uprawnione do badania prawidłowości oceny operacji dokonanej przez Radę.</w:t>
      </w:r>
    </w:p>
    <w:p w14:paraId="5564A481" w14:textId="77777777" w:rsidR="008B1C66" w:rsidRDefault="00F0363E">
      <w:pPr>
        <w:numPr>
          <w:ilvl w:val="0"/>
          <w:numId w:val="22"/>
        </w:numPr>
        <w:spacing w:after="120" w:line="276" w:lineRule="auto"/>
        <w:ind w:left="426" w:hanging="426"/>
        <w:jc w:val="both"/>
        <w:rPr>
          <w:rFonts w:cs="Times New Roman"/>
        </w:rPr>
      </w:pPr>
      <w:r>
        <w:rPr>
          <w:rFonts w:cs="Times New Roman"/>
        </w:rPr>
        <w:lastRenderedPageBreak/>
        <w:t>Członkowie Rady przekazują Przewodniczącemu Rady oraz do Biura swój adres poczty elektronicznej, przy pomocy którego możliwy będzie z nimi kontakt w sprawach związanych z działalnością Rady, w szczególności niezbędny do przeprowadzenia posiedzenia w trybie zdalnym. W przypadku zmiany adresu Członek Rady niezwłocznie, nie później niż w ciągu 3 dni, przekazuje Przewodniczącemu Rady i do Biura aktualny adres. W przypadku niezaktualizowania adresu, informacje i zawiadomienia dokonane drogą elektroniczną będą uznawane za prawidłowo doręczone do Członka Rady.</w:t>
      </w:r>
    </w:p>
    <w:p w14:paraId="5564A482" w14:textId="77777777" w:rsidR="008B1C66" w:rsidRDefault="00F0363E">
      <w:pPr>
        <w:numPr>
          <w:ilvl w:val="0"/>
          <w:numId w:val="22"/>
        </w:numPr>
        <w:spacing w:after="120" w:line="276" w:lineRule="auto"/>
        <w:ind w:left="426" w:hanging="426"/>
        <w:jc w:val="both"/>
        <w:rPr>
          <w:rFonts w:cs="Times New Roman"/>
        </w:rPr>
      </w:pPr>
      <w:r>
        <w:rPr>
          <w:rFonts w:cs="Times New Roman"/>
        </w:rPr>
        <w:t xml:space="preserve">W przypadku wejścia w życie wytycznych Ministra Rolnictwa i Rozwoju Wsi dotyczących zasad wdrażania interwencji I.13.1 LEADER/Rozwój Lokalny Kierowany przez Społeczność (RLKS) w ramach PS WPR, które będą wpływać na zagadnienia dotyczące bezstronności, obowiązku </w:t>
      </w:r>
      <w:proofErr w:type="spellStart"/>
      <w:r>
        <w:rPr>
          <w:rFonts w:cs="Times New Roman"/>
        </w:rPr>
        <w:t>wyłączeń</w:t>
      </w:r>
      <w:proofErr w:type="spellEnd"/>
      <w:r>
        <w:rPr>
          <w:rFonts w:cs="Times New Roman"/>
        </w:rPr>
        <w:t xml:space="preserve"> lub przynależności do grup interesu, Zarząd jest uprawniony do aktualizacji wzorów deklaracji bezstronności lub Rejestru Interesów, w celu ich dostosowania do tych Wytycznych. Zaktualizowane wzory powinny być na najbliższym Walnym Zebraniu Członków zatwierdzone w procedurze przewidzianej dla zmiany regulaminu.</w:t>
      </w:r>
    </w:p>
    <w:p w14:paraId="5564A483" w14:textId="77777777" w:rsidR="008B1C66" w:rsidRDefault="008B1C66">
      <w:pPr>
        <w:spacing w:after="120" w:line="276" w:lineRule="auto"/>
        <w:rPr>
          <w:rFonts w:cs="Times New Roman"/>
          <w:b/>
        </w:rPr>
      </w:pPr>
    </w:p>
    <w:p w14:paraId="5564A484" w14:textId="77777777" w:rsidR="008B1C66" w:rsidRDefault="00F0363E">
      <w:pPr>
        <w:spacing w:after="120" w:line="276" w:lineRule="auto"/>
        <w:jc w:val="center"/>
        <w:rPr>
          <w:rFonts w:cs="Times New Roman"/>
          <w:b/>
        </w:rPr>
      </w:pPr>
      <w:r>
        <w:rPr>
          <w:rFonts w:cs="Times New Roman"/>
          <w:b/>
        </w:rPr>
        <w:t>§ 4</w:t>
      </w:r>
    </w:p>
    <w:p w14:paraId="5564A485" w14:textId="77777777" w:rsidR="008B1C66" w:rsidRDefault="00F0363E">
      <w:pPr>
        <w:numPr>
          <w:ilvl w:val="0"/>
          <w:numId w:val="1"/>
        </w:numPr>
        <w:tabs>
          <w:tab w:val="clear" w:pos="720"/>
        </w:tabs>
        <w:spacing w:after="120" w:line="276" w:lineRule="auto"/>
        <w:ind w:left="426" w:hanging="426"/>
        <w:jc w:val="both"/>
        <w:rPr>
          <w:rFonts w:cs="Times New Roman"/>
        </w:rPr>
      </w:pPr>
      <w:r>
        <w:rPr>
          <w:rFonts w:cs="Times New Roman"/>
        </w:rPr>
        <w:t>Członkowie Rady maj</w:t>
      </w:r>
      <w:r>
        <w:rPr>
          <w:rFonts w:eastAsia="Times New Roman" w:cs="Times New Roman"/>
        </w:rPr>
        <w:t xml:space="preserve">ą </w:t>
      </w:r>
      <w:r>
        <w:rPr>
          <w:rFonts w:cs="Times New Roman"/>
        </w:rPr>
        <w:t>obowi</w:t>
      </w:r>
      <w:r>
        <w:rPr>
          <w:rFonts w:eastAsia="Times New Roman" w:cs="Times New Roman"/>
        </w:rPr>
        <w:t>ą</w:t>
      </w:r>
      <w:r>
        <w:rPr>
          <w:rFonts w:cs="Times New Roman"/>
        </w:rPr>
        <w:t>zek uczestniczenia w posiedzeniach Rady.</w:t>
      </w:r>
    </w:p>
    <w:p w14:paraId="5564A486" w14:textId="77777777" w:rsidR="008B1C66" w:rsidRDefault="00F0363E">
      <w:pPr>
        <w:numPr>
          <w:ilvl w:val="0"/>
          <w:numId w:val="1"/>
        </w:numPr>
        <w:tabs>
          <w:tab w:val="clear" w:pos="720"/>
        </w:tabs>
        <w:spacing w:after="120" w:line="276" w:lineRule="auto"/>
        <w:ind w:left="426" w:hanging="426"/>
        <w:jc w:val="both"/>
        <w:rPr>
          <w:rFonts w:cs="Times New Roman"/>
        </w:rPr>
      </w:pPr>
      <w:r>
        <w:rPr>
          <w:rFonts w:cs="Times New Roman"/>
        </w:rPr>
        <w:t>W razie niemo</w:t>
      </w:r>
      <w:r>
        <w:rPr>
          <w:rFonts w:eastAsia="Times New Roman" w:cs="Times New Roman"/>
        </w:rPr>
        <w:t>ż</w:t>
      </w:r>
      <w:r>
        <w:rPr>
          <w:rFonts w:cs="Times New Roman"/>
        </w:rPr>
        <w:t>no</w:t>
      </w:r>
      <w:r>
        <w:rPr>
          <w:rFonts w:eastAsia="Times New Roman" w:cs="Times New Roman"/>
        </w:rPr>
        <w:t>ś</w:t>
      </w:r>
      <w:r>
        <w:rPr>
          <w:rFonts w:cs="Times New Roman"/>
        </w:rPr>
        <w:t>ci wzi</w:t>
      </w:r>
      <w:r>
        <w:rPr>
          <w:rFonts w:eastAsia="Times New Roman" w:cs="Times New Roman"/>
        </w:rPr>
        <w:t>ę</w:t>
      </w:r>
      <w:r>
        <w:rPr>
          <w:rFonts w:cs="Times New Roman"/>
        </w:rPr>
        <w:t>cia udziału w posiedzeniu Rady, Członek Rady zawiadamia o tym fakcie przed terminem posiedzenia Przewodnicz</w:t>
      </w:r>
      <w:r>
        <w:rPr>
          <w:rFonts w:eastAsia="Times New Roman" w:cs="Times New Roman"/>
        </w:rPr>
        <w:t>ą</w:t>
      </w:r>
      <w:r>
        <w:rPr>
          <w:rFonts w:cs="Times New Roman"/>
        </w:rPr>
        <w:t>cego Rady, a nast</w:t>
      </w:r>
      <w:r>
        <w:rPr>
          <w:rFonts w:eastAsia="Times New Roman" w:cs="Times New Roman"/>
        </w:rPr>
        <w:t>ę</w:t>
      </w:r>
      <w:r>
        <w:rPr>
          <w:rFonts w:cs="Times New Roman"/>
        </w:rPr>
        <w:t>pnie jest obowi</w:t>
      </w:r>
      <w:r>
        <w:rPr>
          <w:rFonts w:eastAsia="Times New Roman" w:cs="Times New Roman"/>
        </w:rPr>
        <w:t>ą</w:t>
      </w:r>
      <w:r>
        <w:rPr>
          <w:rFonts w:cs="Times New Roman"/>
        </w:rPr>
        <w:t>zany w ci</w:t>
      </w:r>
      <w:r>
        <w:rPr>
          <w:rFonts w:eastAsia="Times New Roman" w:cs="Times New Roman"/>
        </w:rPr>
        <w:t>ą</w:t>
      </w:r>
      <w:r>
        <w:rPr>
          <w:rFonts w:cs="Times New Roman"/>
        </w:rPr>
        <w:t>gu 7 dni usprawiedliwi</w:t>
      </w:r>
      <w:r>
        <w:rPr>
          <w:rFonts w:eastAsia="Times New Roman" w:cs="Times New Roman"/>
        </w:rPr>
        <w:t xml:space="preserve">ć </w:t>
      </w:r>
      <w:r>
        <w:rPr>
          <w:rFonts w:cs="Times New Roman"/>
        </w:rPr>
        <w:t>w formie pisemnej swoj</w:t>
      </w:r>
      <w:r>
        <w:rPr>
          <w:rFonts w:eastAsia="Times New Roman" w:cs="Times New Roman"/>
        </w:rPr>
        <w:t xml:space="preserve">ą </w:t>
      </w:r>
      <w:r>
        <w:rPr>
          <w:rFonts w:cs="Times New Roman"/>
        </w:rPr>
        <w:t>nieobecno</w:t>
      </w:r>
      <w:r>
        <w:rPr>
          <w:rFonts w:eastAsia="Times New Roman" w:cs="Times New Roman"/>
        </w:rPr>
        <w:t xml:space="preserve">ść </w:t>
      </w:r>
      <w:r>
        <w:rPr>
          <w:rFonts w:cs="Times New Roman"/>
        </w:rPr>
        <w:t>Przewodnicz</w:t>
      </w:r>
      <w:r>
        <w:rPr>
          <w:rFonts w:eastAsia="Times New Roman" w:cs="Times New Roman"/>
        </w:rPr>
        <w:t>ą</w:t>
      </w:r>
      <w:r>
        <w:rPr>
          <w:rFonts w:cs="Times New Roman"/>
        </w:rPr>
        <w:t>cemu Rady.</w:t>
      </w:r>
    </w:p>
    <w:p w14:paraId="5564A487" w14:textId="77777777" w:rsidR="008B1C66" w:rsidRDefault="00F0363E">
      <w:pPr>
        <w:numPr>
          <w:ilvl w:val="0"/>
          <w:numId w:val="1"/>
        </w:numPr>
        <w:tabs>
          <w:tab w:val="clear" w:pos="720"/>
        </w:tabs>
        <w:spacing w:after="120" w:line="276" w:lineRule="auto"/>
        <w:ind w:left="426" w:hanging="426"/>
        <w:jc w:val="both"/>
        <w:rPr>
          <w:rFonts w:cs="Times New Roman"/>
        </w:rPr>
      </w:pPr>
      <w:r>
        <w:rPr>
          <w:rFonts w:cs="Times New Roman"/>
        </w:rPr>
        <w:t>Za przyczyny usprawiedliwiaj</w:t>
      </w:r>
      <w:r>
        <w:rPr>
          <w:rFonts w:eastAsia="Times New Roman" w:cs="Times New Roman"/>
        </w:rPr>
        <w:t>ą</w:t>
      </w:r>
      <w:r>
        <w:rPr>
          <w:rFonts w:cs="Times New Roman"/>
        </w:rPr>
        <w:t xml:space="preserve">ce </w:t>
      </w:r>
      <w:r>
        <w:rPr>
          <w:rFonts w:eastAsia="Times New Roman" w:cs="Times New Roman"/>
        </w:rPr>
        <w:t>nieobecność</w:t>
      </w:r>
      <w:r>
        <w:rPr>
          <w:rFonts w:cs="Times New Roman"/>
        </w:rPr>
        <w:t xml:space="preserve"> Członka Rady na jej posiedzeniu uwa</w:t>
      </w:r>
      <w:r>
        <w:rPr>
          <w:rFonts w:eastAsia="Times New Roman" w:cs="Times New Roman"/>
        </w:rPr>
        <w:t>ż</w:t>
      </w:r>
      <w:r>
        <w:rPr>
          <w:rFonts w:cs="Times New Roman"/>
        </w:rPr>
        <w:t>a si</w:t>
      </w:r>
      <w:r>
        <w:rPr>
          <w:rFonts w:eastAsia="Times New Roman" w:cs="Times New Roman"/>
        </w:rPr>
        <w:t>ę</w:t>
      </w:r>
      <w:r>
        <w:rPr>
          <w:rFonts w:cs="Times New Roman"/>
        </w:rPr>
        <w:t>:</w:t>
      </w:r>
    </w:p>
    <w:p w14:paraId="5564A488" w14:textId="77777777" w:rsidR="008B1C66" w:rsidRDefault="00F0363E">
      <w:pPr>
        <w:numPr>
          <w:ilvl w:val="0"/>
          <w:numId w:val="2"/>
        </w:numPr>
        <w:spacing w:after="120" w:line="276" w:lineRule="auto"/>
        <w:ind w:left="851" w:hanging="425"/>
        <w:jc w:val="both"/>
        <w:rPr>
          <w:rFonts w:eastAsia="Times New Roman" w:cs="Times New Roman"/>
        </w:rPr>
      </w:pPr>
      <w:r>
        <w:rPr>
          <w:rFonts w:cs="Times New Roman"/>
        </w:rPr>
        <w:t>chorob</w:t>
      </w:r>
      <w:r>
        <w:rPr>
          <w:rFonts w:eastAsia="Times New Roman" w:cs="Times New Roman"/>
        </w:rPr>
        <w:t>ę,</w:t>
      </w:r>
    </w:p>
    <w:p w14:paraId="5564A489" w14:textId="77777777" w:rsidR="008B1C66" w:rsidRDefault="00F0363E">
      <w:pPr>
        <w:numPr>
          <w:ilvl w:val="0"/>
          <w:numId w:val="2"/>
        </w:numPr>
        <w:spacing w:after="120" w:line="276" w:lineRule="auto"/>
        <w:ind w:left="851" w:hanging="425"/>
        <w:jc w:val="both"/>
        <w:rPr>
          <w:rFonts w:cs="Times New Roman"/>
        </w:rPr>
      </w:pPr>
      <w:r>
        <w:rPr>
          <w:rFonts w:cs="Times New Roman"/>
        </w:rPr>
        <w:t>podró</w:t>
      </w:r>
      <w:r>
        <w:rPr>
          <w:rFonts w:eastAsia="Times New Roman" w:cs="Times New Roman"/>
        </w:rPr>
        <w:t xml:space="preserve">ż </w:t>
      </w:r>
      <w:r>
        <w:rPr>
          <w:rFonts w:cs="Times New Roman"/>
        </w:rPr>
        <w:t>słu</w:t>
      </w:r>
      <w:r>
        <w:rPr>
          <w:rFonts w:eastAsia="Times New Roman" w:cs="Times New Roman"/>
        </w:rPr>
        <w:t>ż</w:t>
      </w:r>
      <w:r>
        <w:rPr>
          <w:rFonts w:cs="Times New Roman"/>
        </w:rPr>
        <w:t>bow</w:t>
      </w:r>
      <w:r>
        <w:rPr>
          <w:rFonts w:eastAsia="Times New Roman" w:cs="Times New Roman"/>
        </w:rPr>
        <w:t>ą</w:t>
      </w:r>
      <w:r>
        <w:rPr>
          <w:rFonts w:cs="Times New Roman"/>
        </w:rPr>
        <w:t>,</w:t>
      </w:r>
    </w:p>
    <w:p w14:paraId="5564A48A" w14:textId="77777777" w:rsidR="008B1C66" w:rsidRDefault="00F0363E">
      <w:pPr>
        <w:numPr>
          <w:ilvl w:val="0"/>
          <w:numId w:val="2"/>
        </w:numPr>
        <w:spacing w:after="120" w:line="276" w:lineRule="auto"/>
        <w:ind w:left="851" w:hanging="425"/>
        <w:rPr>
          <w:rFonts w:cs="Times New Roman"/>
        </w:rPr>
      </w:pPr>
      <w:r>
        <w:rPr>
          <w:rFonts w:cs="Times New Roman"/>
        </w:rPr>
        <w:t>inne prawnie lub losowo uzasadnione przeszkody.</w:t>
      </w:r>
    </w:p>
    <w:p w14:paraId="5564A48B" w14:textId="77777777" w:rsidR="008B1C66" w:rsidRDefault="00F0363E">
      <w:pPr>
        <w:numPr>
          <w:ilvl w:val="0"/>
          <w:numId w:val="1"/>
        </w:numPr>
        <w:tabs>
          <w:tab w:val="clear" w:pos="720"/>
        </w:tabs>
        <w:spacing w:after="120" w:line="276" w:lineRule="auto"/>
        <w:ind w:left="426" w:hanging="426"/>
        <w:jc w:val="both"/>
        <w:rPr>
          <w:rFonts w:cs="Times New Roman"/>
        </w:rPr>
      </w:pPr>
      <w:r>
        <w:rPr>
          <w:rFonts w:cs="Times New Roman"/>
        </w:rPr>
        <w:t>Nieusprawiedliwiona nieobecność stanowi podstawę do wystąpienia przez Przewodniczącego Rady do Walnego Zebrania Członków z wnioskiem o odwołanie niewywiązującego się ze swoich obowiązków Członka Rady. W przypadku, gdy nieusprawiedliwiona nieobecność dotyczy osoby fizycznej reprezentującej w Radzie członka Stowarzyszenia będącego osobą prawną, Przewodniczący Rady, przed wystąpieniem do Walnego Zebrania Członków z wnioskiem, o którym mowa w zdaniu poprzednim, może zwrócić się do Zarządu w celu podjęcia w stosunku do tego członka Stowarzyszenia działań mających na celu zmianę osoby fizycznej reprezentującej w Radzie tego członka Stowarzyszenia.</w:t>
      </w:r>
    </w:p>
    <w:p w14:paraId="5564A48C" w14:textId="77777777" w:rsidR="008B1C66" w:rsidRDefault="008B1C66">
      <w:pPr>
        <w:spacing w:line="276" w:lineRule="auto"/>
        <w:jc w:val="center"/>
        <w:rPr>
          <w:rFonts w:cs="Times New Roman"/>
        </w:rPr>
      </w:pPr>
    </w:p>
    <w:p w14:paraId="5564A48D" w14:textId="77777777" w:rsidR="008B1C66" w:rsidRDefault="00F0363E">
      <w:pPr>
        <w:spacing w:after="120" w:line="276" w:lineRule="auto"/>
        <w:jc w:val="center"/>
        <w:rPr>
          <w:rFonts w:cs="Times New Roman"/>
          <w:b/>
        </w:rPr>
      </w:pPr>
      <w:r>
        <w:rPr>
          <w:rFonts w:cs="Times New Roman"/>
          <w:b/>
        </w:rPr>
        <w:t>§ 5</w:t>
      </w:r>
    </w:p>
    <w:p w14:paraId="5564A48E" w14:textId="3DAA7262" w:rsidR="008B1C66" w:rsidRDefault="00F0363E">
      <w:pPr>
        <w:numPr>
          <w:ilvl w:val="0"/>
          <w:numId w:val="3"/>
        </w:numPr>
        <w:tabs>
          <w:tab w:val="clear" w:pos="720"/>
        </w:tabs>
        <w:spacing w:after="120" w:line="276" w:lineRule="auto"/>
        <w:ind w:left="426" w:hanging="426"/>
        <w:jc w:val="both"/>
        <w:rPr>
          <w:rFonts w:cs="Times New Roman"/>
          <w:color w:val="000000"/>
          <w:u w:val="single"/>
        </w:rPr>
      </w:pPr>
      <w:r>
        <w:rPr>
          <w:rFonts w:cs="Times New Roman"/>
        </w:rPr>
        <w:t>Członkom Rady w okresie sprawowania funkcji p</w:t>
      </w:r>
      <w:r>
        <w:rPr>
          <w:rFonts w:cs="Times New Roman"/>
          <w:color w:val="000000"/>
        </w:rPr>
        <w:t xml:space="preserve">rzysługuje wynagrodzenie </w:t>
      </w:r>
      <w:r w:rsidR="00DC3C5A">
        <w:rPr>
          <w:rFonts w:cs="Times New Roman"/>
          <w:color w:val="000000"/>
        </w:rPr>
        <w:t xml:space="preserve">w postaci diety </w:t>
      </w:r>
      <w:r>
        <w:rPr>
          <w:rFonts w:cs="Times New Roman"/>
          <w:color w:val="000000"/>
        </w:rPr>
        <w:t xml:space="preserve">za udział w ocenie operacji objętych wnioskami złożonymi w ramach naboru. </w:t>
      </w:r>
      <w:r w:rsidR="00DC3C5A">
        <w:rPr>
          <w:rFonts w:cs="Times New Roman"/>
          <w:color w:val="000000"/>
        </w:rPr>
        <w:t>Dieta</w:t>
      </w:r>
      <w:r>
        <w:rPr>
          <w:rFonts w:cs="Times New Roman"/>
          <w:color w:val="000000"/>
        </w:rPr>
        <w:t xml:space="preserve"> przysługuje za cały nabór, to znaczy jego wartość nie zależy od ilości dni, w trakcie których dokonywano oceny i przysługuje Członkowi Rady jedynie wtedy, gdy brał on udział w pracach tego organu we wszystkich dniach, w których dokonywano oceny wniosków złożonych w ramach danego naboru. </w:t>
      </w:r>
    </w:p>
    <w:p w14:paraId="5564A48F" w14:textId="71B0A5B7" w:rsidR="008B1C66" w:rsidRDefault="00F0363E">
      <w:pPr>
        <w:numPr>
          <w:ilvl w:val="0"/>
          <w:numId w:val="3"/>
        </w:numPr>
        <w:tabs>
          <w:tab w:val="clear" w:pos="720"/>
        </w:tabs>
        <w:spacing w:after="120" w:line="276" w:lineRule="auto"/>
        <w:ind w:left="426" w:hanging="426"/>
        <w:jc w:val="both"/>
        <w:rPr>
          <w:rFonts w:cs="Times New Roman"/>
          <w:color w:val="000000"/>
        </w:rPr>
      </w:pPr>
      <w:r>
        <w:rPr>
          <w:rFonts w:cs="Times New Roman"/>
          <w:color w:val="000000"/>
        </w:rPr>
        <w:lastRenderedPageBreak/>
        <w:t xml:space="preserve">Przewodniczącemu Rady może przysługiwać </w:t>
      </w:r>
      <w:r w:rsidR="008B5676">
        <w:rPr>
          <w:rFonts w:cs="Times New Roman"/>
          <w:color w:val="000000"/>
        </w:rPr>
        <w:t>dieta</w:t>
      </w:r>
      <w:r>
        <w:rPr>
          <w:rFonts w:cs="Times New Roman"/>
          <w:color w:val="000000"/>
        </w:rPr>
        <w:t xml:space="preserve"> w wysokości wyższej niż pozostałym Członkom Rady.</w:t>
      </w:r>
    </w:p>
    <w:p w14:paraId="5564A490" w14:textId="7904E41A" w:rsidR="008B1C66" w:rsidRDefault="00F0363E">
      <w:pPr>
        <w:numPr>
          <w:ilvl w:val="0"/>
          <w:numId w:val="3"/>
        </w:numPr>
        <w:tabs>
          <w:tab w:val="clear" w:pos="720"/>
        </w:tabs>
        <w:spacing w:after="120" w:line="276" w:lineRule="auto"/>
        <w:ind w:left="426" w:hanging="426"/>
        <w:jc w:val="both"/>
        <w:rPr>
          <w:rFonts w:cs="Times New Roman"/>
          <w:color w:val="000000"/>
        </w:rPr>
      </w:pPr>
      <w:r>
        <w:rPr>
          <w:rFonts w:cs="Times New Roman"/>
          <w:color w:val="000000"/>
        </w:rPr>
        <w:t>Wysoko</w:t>
      </w:r>
      <w:r>
        <w:rPr>
          <w:rFonts w:eastAsia="Times New Roman" w:cs="Times New Roman"/>
          <w:color w:val="000000"/>
        </w:rPr>
        <w:t xml:space="preserve">ść </w:t>
      </w:r>
      <w:r w:rsidR="008B5676">
        <w:rPr>
          <w:rFonts w:cs="Times New Roman"/>
          <w:color w:val="000000"/>
        </w:rPr>
        <w:t>diety</w:t>
      </w:r>
      <w:r>
        <w:rPr>
          <w:rFonts w:cs="Times New Roman"/>
          <w:color w:val="000000"/>
        </w:rPr>
        <w:t xml:space="preserve"> za udział w posiedzeniu Rady ustala Walne Zebranie Członków, z zastrzeżeniem, że przepisy regulujące wdrażanie PS WPR mogą ustalać maksymalną wysokość wynagrodzenia przysługującego ze środków tego Programu.</w:t>
      </w:r>
    </w:p>
    <w:p w14:paraId="5564A491" w14:textId="45827302" w:rsidR="008B1C66" w:rsidRDefault="00F0363E">
      <w:pPr>
        <w:numPr>
          <w:ilvl w:val="0"/>
          <w:numId w:val="3"/>
        </w:numPr>
        <w:tabs>
          <w:tab w:val="clear" w:pos="720"/>
        </w:tabs>
        <w:spacing w:after="120" w:line="276" w:lineRule="auto"/>
        <w:ind w:left="426" w:hanging="426"/>
        <w:jc w:val="both"/>
        <w:rPr>
          <w:rFonts w:cs="Times New Roman"/>
          <w:color w:val="000000"/>
        </w:rPr>
      </w:pPr>
      <w:r>
        <w:rPr>
          <w:rFonts w:cs="Times New Roman"/>
          <w:color w:val="000000"/>
        </w:rPr>
        <w:t>W przypadku spóźnienia się lub wcze</w:t>
      </w:r>
      <w:r>
        <w:rPr>
          <w:rFonts w:eastAsia="Times New Roman" w:cs="Times New Roman"/>
          <w:color w:val="000000"/>
        </w:rPr>
        <w:t>ś</w:t>
      </w:r>
      <w:r>
        <w:rPr>
          <w:rFonts w:cs="Times New Roman"/>
          <w:color w:val="000000"/>
        </w:rPr>
        <w:t xml:space="preserve">niejszego opuszczenia posiedzenia przez Członka Rady, </w:t>
      </w:r>
      <w:r>
        <w:rPr>
          <w:rFonts w:cs="Times New Roman"/>
          <w:color w:val="000000"/>
        </w:rPr>
        <w:br/>
      </w:r>
      <w:r>
        <w:rPr>
          <w:rFonts w:cs="Times New Roman"/>
        </w:rPr>
        <w:t xml:space="preserve">a w przypadku posiedzeń wielodniowych w razie nieobecności co najmniej w jednym dniu posiedzenia lub spóźnienia się lub wcześniejszego opuszczenia posiedzenia w którymkolwiek </w:t>
      </w:r>
      <w:r>
        <w:rPr>
          <w:rFonts w:cs="Times New Roman"/>
        </w:rPr>
        <w:br/>
        <w:t xml:space="preserve">z tych dni, </w:t>
      </w:r>
      <w:r w:rsidR="003E0EC2">
        <w:rPr>
          <w:rFonts w:cs="Times New Roman"/>
        </w:rPr>
        <w:t>dieta nie przysługuje</w:t>
      </w:r>
      <w:r>
        <w:rPr>
          <w:rFonts w:cs="Times New Roman"/>
        </w:rPr>
        <w:t>.</w:t>
      </w:r>
      <w:r>
        <w:rPr>
          <w:rFonts w:cs="Times New Roman"/>
          <w:color w:val="000000"/>
        </w:rPr>
        <w:t xml:space="preserve"> </w:t>
      </w:r>
    </w:p>
    <w:p w14:paraId="5564A492" w14:textId="620CC8AC" w:rsidR="008B1C66" w:rsidRDefault="00284AF6">
      <w:pPr>
        <w:numPr>
          <w:ilvl w:val="0"/>
          <w:numId w:val="3"/>
        </w:numPr>
        <w:tabs>
          <w:tab w:val="clear" w:pos="720"/>
        </w:tabs>
        <w:spacing w:after="120" w:line="276" w:lineRule="auto"/>
        <w:ind w:left="426" w:hanging="426"/>
        <w:jc w:val="both"/>
        <w:rPr>
          <w:rFonts w:cs="Times New Roman"/>
        </w:rPr>
      </w:pPr>
      <w:r>
        <w:rPr>
          <w:rFonts w:cs="Times New Roman"/>
          <w:color w:val="000000"/>
        </w:rPr>
        <w:t>Dieta</w:t>
      </w:r>
      <w:r w:rsidR="00F0363E">
        <w:rPr>
          <w:rFonts w:cs="Times New Roman"/>
          <w:color w:val="000000"/>
        </w:rPr>
        <w:t xml:space="preserve"> za udział w posiedzeniu Rady obliczan</w:t>
      </w:r>
      <w:r>
        <w:rPr>
          <w:rFonts w:cs="Times New Roman"/>
          <w:color w:val="000000"/>
        </w:rPr>
        <w:t>a</w:t>
      </w:r>
      <w:r w:rsidR="00F0363E">
        <w:rPr>
          <w:rFonts w:cs="Times New Roman"/>
          <w:color w:val="000000"/>
        </w:rPr>
        <w:t xml:space="preserve"> jest i wypłacan</w:t>
      </w:r>
      <w:r w:rsidR="00DF7B5C">
        <w:rPr>
          <w:rFonts w:cs="Times New Roman"/>
          <w:color w:val="000000"/>
        </w:rPr>
        <w:t>a</w:t>
      </w:r>
      <w:r w:rsidR="00F0363E">
        <w:rPr>
          <w:rFonts w:cs="Times New Roman"/>
          <w:color w:val="000000"/>
        </w:rPr>
        <w:t xml:space="preserve"> na podstawie listy obecności w terminie 21 dni po ka</w:t>
      </w:r>
      <w:r w:rsidR="00F0363E">
        <w:rPr>
          <w:rFonts w:eastAsia="Times New Roman" w:cs="Times New Roman"/>
          <w:color w:val="000000"/>
        </w:rPr>
        <w:t>ż</w:t>
      </w:r>
      <w:r w:rsidR="00F0363E">
        <w:rPr>
          <w:rFonts w:cs="Times New Roman"/>
          <w:color w:val="000000"/>
        </w:rPr>
        <w:t>dym posiedzeniu</w:t>
      </w:r>
      <w:r w:rsidR="00F0363E">
        <w:rPr>
          <w:rFonts w:cs="Times New Roman"/>
        </w:rPr>
        <w:t>, na indywidualne konta uczestników posiedzenia bez względu na to, czy reprezentują osobę fizyczną czy też prawną.</w:t>
      </w:r>
    </w:p>
    <w:p w14:paraId="5564A493" w14:textId="77777777" w:rsidR="008B1C66" w:rsidRDefault="008B1C66">
      <w:pPr>
        <w:spacing w:line="276" w:lineRule="auto"/>
        <w:rPr>
          <w:rFonts w:cs="Times New Roman"/>
        </w:rPr>
      </w:pPr>
    </w:p>
    <w:p w14:paraId="5564A494" w14:textId="77777777" w:rsidR="008B1C66" w:rsidRDefault="00F0363E">
      <w:pPr>
        <w:spacing w:after="120" w:line="276" w:lineRule="auto"/>
        <w:jc w:val="center"/>
        <w:rPr>
          <w:rFonts w:cs="Times New Roman"/>
          <w:b/>
        </w:rPr>
      </w:pPr>
      <w:r>
        <w:rPr>
          <w:rFonts w:cs="Times New Roman"/>
          <w:b/>
        </w:rPr>
        <w:t>§ 6</w:t>
      </w:r>
    </w:p>
    <w:p w14:paraId="5564A495" w14:textId="77777777" w:rsidR="008B1C66" w:rsidRDefault="00F0363E">
      <w:pPr>
        <w:numPr>
          <w:ilvl w:val="0"/>
          <w:numId w:val="23"/>
        </w:numPr>
        <w:tabs>
          <w:tab w:val="clear" w:pos="720"/>
        </w:tabs>
        <w:spacing w:after="120" w:line="276" w:lineRule="auto"/>
        <w:ind w:left="426" w:hanging="426"/>
        <w:jc w:val="both"/>
        <w:rPr>
          <w:rFonts w:cs="Times New Roman"/>
        </w:rPr>
      </w:pPr>
      <w:r>
        <w:rPr>
          <w:rFonts w:cs="Times New Roman"/>
        </w:rPr>
        <w:t>Zarząd i Biuro udziela Członkom Rady pomocy w wykonywaniu przez nich swoich funkcji oraz dokonuje innych czynności dotyczących przeprowadzania naboru wniosków oraz realizacji projektów grantowych, które zostały wymienione w przepisach prawa oraz w odrębnych dokumentach określających zadania Zarządu i procedury naboru wniosków, realizacji operacji własnych LGD oraz projektów grantowych.</w:t>
      </w:r>
    </w:p>
    <w:p w14:paraId="5564A496" w14:textId="77777777" w:rsidR="008B1C66" w:rsidRDefault="00F0363E">
      <w:pPr>
        <w:numPr>
          <w:ilvl w:val="0"/>
          <w:numId w:val="23"/>
        </w:numPr>
        <w:tabs>
          <w:tab w:val="clear" w:pos="720"/>
        </w:tabs>
        <w:spacing w:after="120" w:line="276" w:lineRule="auto"/>
        <w:ind w:left="426" w:hanging="426"/>
        <w:jc w:val="both"/>
        <w:rPr>
          <w:rFonts w:cs="Times New Roman"/>
        </w:rPr>
      </w:pPr>
      <w:r>
        <w:rPr>
          <w:rFonts w:cs="Times New Roman"/>
        </w:rPr>
        <w:t>Bieżąca obsługa prac Rady należy do Biura. Szczegółowe zadania Biura dotyczące procedury naboru wniosków, realizacji operacji własnych LGD oraz projektów grantowych zostały określone w odrębnych dokumentach. Biuro jest odpowiedzialne za przekazanie do Rady poprawnej dokumentacji oraz jej zgodności formalnej z przepisami regulującymi wdrażanie LSR i stosowanymi przez LGD procedurami.</w:t>
      </w:r>
    </w:p>
    <w:p w14:paraId="5564A497" w14:textId="77777777" w:rsidR="008B1C66" w:rsidRDefault="008B1C66">
      <w:pPr>
        <w:spacing w:line="276" w:lineRule="auto"/>
        <w:rPr>
          <w:rFonts w:cs="Times New Roman"/>
        </w:rPr>
      </w:pPr>
    </w:p>
    <w:p w14:paraId="5564A498" w14:textId="77777777" w:rsidR="008B1C66" w:rsidRDefault="008B1C66">
      <w:pPr>
        <w:spacing w:line="276" w:lineRule="auto"/>
        <w:rPr>
          <w:rFonts w:cs="Times New Roman"/>
        </w:rPr>
      </w:pPr>
    </w:p>
    <w:p w14:paraId="5564A499" w14:textId="77777777" w:rsidR="008B1C66" w:rsidRDefault="00F0363E">
      <w:pPr>
        <w:spacing w:after="120" w:line="276" w:lineRule="auto"/>
        <w:jc w:val="center"/>
        <w:rPr>
          <w:rFonts w:cs="Times New Roman"/>
          <w:b/>
          <w:bCs/>
        </w:rPr>
      </w:pPr>
      <w:r>
        <w:rPr>
          <w:rFonts w:cs="Times New Roman"/>
          <w:b/>
          <w:bCs/>
        </w:rPr>
        <w:t>ROZDZIAŁ III</w:t>
      </w:r>
    </w:p>
    <w:p w14:paraId="5564A49A" w14:textId="77777777" w:rsidR="008B1C66" w:rsidRDefault="00F0363E">
      <w:pPr>
        <w:spacing w:after="120" w:line="276" w:lineRule="auto"/>
        <w:jc w:val="center"/>
        <w:rPr>
          <w:rFonts w:cs="Times New Roman"/>
        </w:rPr>
      </w:pPr>
      <w:r>
        <w:rPr>
          <w:rFonts w:cs="Times New Roman"/>
          <w:b/>
        </w:rPr>
        <w:t>Przewodniczący Rady</w:t>
      </w:r>
    </w:p>
    <w:p w14:paraId="5564A49B" w14:textId="77777777" w:rsidR="008B1C66" w:rsidRDefault="00F0363E">
      <w:pPr>
        <w:spacing w:after="120" w:line="276" w:lineRule="auto"/>
        <w:jc w:val="center"/>
        <w:rPr>
          <w:rFonts w:cs="Times New Roman"/>
          <w:b/>
        </w:rPr>
      </w:pPr>
      <w:r>
        <w:rPr>
          <w:rFonts w:cs="Times New Roman"/>
          <w:b/>
        </w:rPr>
        <w:t>§ 7</w:t>
      </w:r>
    </w:p>
    <w:p w14:paraId="5564A49D" w14:textId="04863F01" w:rsidR="008B1C66" w:rsidRPr="0031077F" w:rsidRDefault="00F0363E" w:rsidP="0031077F">
      <w:pPr>
        <w:spacing w:after="120" w:line="276" w:lineRule="auto"/>
        <w:jc w:val="both"/>
        <w:rPr>
          <w:color w:val="000000"/>
        </w:rPr>
      </w:pPr>
      <w:r>
        <w:rPr>
          <w:rFonts w:cs="Times New Roman"/>
        </w:rPr>
        <w:t>Członkowie Rady wybierają spośród siebie</w:t>
      </w:r>
      <w:r>
        <w:rPr>
          <w:color w:val="000000"/>
        </w:rPr>
        <w:t xml:space="preserve"> Przewodniczącego Rady oraz 1 lub dwóch  Wiceprzewodniczących Rady. Członkowie Rady podczas pierwszego posiedzenia po wyborach zgłaszają kandydatów na Przewodniczącego. W przypadku kilku kandydatur przeprowadzane jest głosowanie tajne. Osoba, która uzyska największa liczbę głosów zostaje wybrana na Przewodniczącego Rady. Następnie zgłaszane są kandydatury na Wiceprzewodniczących. </w:t>
      </w:r>
      <w:r>
        <w:rPr>
          <w:color w:val="000000"/>
        </w:rPr>
        <w:br/>
        <w:t>W przypadku większej liczby kandydatów Wiceprzewodniczący wybierany jest w głosowaniu tajnym większością głosów.</w:t>
      </w:r>
    </w:p>
    <w:p w14:paraId="5564A49E" w14:textId="77777777" w:rsidR="008B1C66" w:rsidRDefault="00F0363E">
      <w:pPr>
        <w:spacing w:after="120" w:line="276" w:lineRule="auto"/>
        <w:jc w:val="center"/>
        <w:rPr>
          <w:rFonts w:cs="Times New Roman"/>
          <w:b/>
        </w:rPr>
      </w:pPr>
      <w:r>
        <w:rPr>
          <w:rFonts w:cs="Times New Roman"/>
          <w:b/>
        </w:rPr>
        <w:t>§ 8</w:t>
      </w:r>
    </w:p>
    <w:p w14:paraId="5564A49F" w14:textId="77777777" w:rsidR="008B1C66" w:rsidRDefault="00F0363E">
      <w:pPr>
        <w:numPr>
          <w:ilvl w:val="0"/>
          <w:numId w:val="4"/>
        </w:numPr>
        <w:tabs>
          <w:tab w:val="clear" w:pos="720"/>
        </w:tabs>
        <w:spacing w:after="120" w:line="276" w:lineRule="auto"/>
        <w:ind w:left="426" w:hanging="426"/>
        <w:jc w:val="both"/>
        <w:rPr>
          <w:rFonts w:cs="Times New Roman"/>
        </w:rPr>
      </w:pPr>
      <w:r>
        <w:rPr>
          <w:rFonts w:cs="Times New Roman"/>
        </w:rPr>
        <w:t>Przewodnicz</w:t>
      </w:r>
      <w:r>
        <w:rPr>
          <w:rFonts w:eastAsia="Times New Roman" w:cs="Times New Roman"/>
        </w:rPr>
        <w:t>ą</w:t>
      </w:r>
      <w:r>
        <w:rPr>
          <w:rFonts w:cs="Times New Roman"/>
        </w:rPr>
        <w:t>cy Rady organizuje prac</w:t>
      </w:r>
      <w:r>
        <w:rPr>
          <w:rFonts w:eastAsia="Times New Roman" w:cs="Times New Roman"/>
        </w:rPr>
        <w:t xml:space="preserve">e </w:t>
      </w:r>
      <w:r>
        <w:rPr>
          <w:rFonts w:cs="Times New Roman"/>
        </w:rPr>
        <w:t>Rady i przewodniczy posiedzeniom Rady, w szczególności:</w:t>
      </w:r>
    </w:p>
    <w:p w14:paraId="5564A4A0" w14:textId="77777777" w:rsidR="008B1C66" w:rsidRDefault="00F0363E">
      <w:pPr>
        <w:numPr>
          <w:ilvl w:val="0"/>
          <w:numId w:val="18"/>
        </w:numPr>
        <w:spacing w:after="120" w:line="276" w:lineRule="auto"/>
        <w:ind w:left="851" w:hanging="425"/>
        <w:jc w:val="both"/>
        <w:rPr>
          <w:rFonts w:cs="Times New Roman"/>
        </w:rPr>
      </w:pPr>
      <w:r>
        <w:rPr>
          <w:rFonts w:cs="Times New Roman"/>
        </w:rPr>
        <w:t>zwołuje, otwiera, prowadzi i zamyka posiedzenia Rady;</w:t>
      </w:r>
    </w:p>
    <w:p w14:paraId="5564A4A1" w14:textId="77777777" w:rsidR="008B1C66" w:rsidRDefault="00F0363E">
      <w:pPr>
        <w:numPr>
          <w:ilvl w:val="0"/>
          <w:numId w:val="18"/>
        </w:numPr>
        <w:spacing w:after="120" w:line="276" w:lineRule="auto"/>
        <w:ind w:left="851" w:hanging="425"/>
        <w:jc w:val="both"/>
        <w:rPr>
          <w:rFonts w:cs="Times New Roman"/>
        </w:rPr>
      </w:pPr>
      <w:r>
        <w:rPr>
          <w:rFonts w:cs="Times New Roman"/>
        </w:rPr>
        <w:lastRenderedPageBreak/>
        <w:t>sprawdza, na podstawie Rejestru Interesów, o którym mowa w § 3 ust. 12, oraz na podstawie deklaracji bezstronności złożonych przez Członków Rady, czy na danym posiedzeniu Rady nie zostaną poddane pod głosowanie operacje, z oceny których Członek Rady powinien zostać wyłączony;</w:t>
      </w:r>
    </w:p>
    <w:p w14:paraId="5564A4A2" w14:textId="77777777" w:rsidR="008B1C66" w:rsidRDefault="00F0363E">
      <w:pPr>
        <w:numPr>
          <w:ilvl w:val="0"/>
          <w:numId w:val="18"/>
        </w:numPr>
        <w:spacing w:after="120" w:line="276" w:lineRule="auto"/>
        <w:ind w:left="851" w:hanging="425"/>
        <w:jc w:val="both"/>
        <w:rPr>
          <w:rFonts w:cs="Times New Roman"/>
        </w:rPr>
      </w:pPr>
      <w:r>
        <w:rPr>
          <w:rFonts w:cs="Times New Roman"/>
        </w:rPr>
        <w:t>przekazuje do Biura uchwały podjęte przez Radę, które dotyczą oceny operacji, wraz ze wszystkimi dokumentami dotyczącymi procedury ich oceny, w celu podjęcia dalszych czynności związanych z naborem wniosków lub realizacją operacji własnej LGD, określonych w innych dokumentach;</w:t>
      </w:r>
    </w:p>
    <w:p w14:paraId="5564A4A3" w14:textId="77777777" w:rsidR="008B1C66" w:rsidRDefault="00F0363E">
      <w:pPr>
        <w:numPr>
          <w:ilvl w:val="0"/>
          <w:numId w:val="18"/>
        </w:numPr>
        <w:spacing w:after="120" w:line="276" w:lineRule="auto"/>
        <w:ind w:left="851" w:hanging="425"/>
        <w:jc w:val="both"/>
        <w:rPr>
          <w:rFonts w:cs="Times New Roman"/>
        </w:rPr>
      </w:pPr>
      <w:r>
        <w:rPr>
          <w:rFonts w:cs="Times New Roman"/>
        </w:rPr>
        <w:t>występuje, w razie konieczności, do Walnego Zebrania Członków, z wnioskami, o których mowa w § 4 ust. 4;</w:t>
      </w:r>
    </w:p>
    <w:p w14:paraId="5564A4A4" w14:textId="77777777" w:rsidR="008B1C66" w:rsidRDefault="00F0363E">
      <w:pPr>
        <w:numPr>
          <w:ilvl w:val="0"/>
          <w:numId w:val="18"/>
        </w:numPr>
        <w:spacing w:after="120" w:line="276" w:lineRule="auto"/>
        <w:ind w:left="851" w:hanging="425"/>
        <w:jc w:val="both"/>
        <w:rPr>
          <w:rFonts w:cs="Times New Roman"/>
        </w:rPr>
      </w:pPr>
      <w:r>
        <w:rPr>
          <w:rFonts w:cs="Times New Roman"/>
        </w:rPr>
        <w:t>występuje do Zarządu z wnioskiem o zainicjowanie działań zmierzających do zmiany procedur, kryteriów oceny operacji albo kryteriów oceny grantobiorców lub innych dokumentów dotyczących funkcjonowania Rady, których stosowanie rodzi problemy lub wątpliwości Członków Rady.</w:t>
      </w:r>
    </w:p>
    <w:p w14:paraId="5564A4A5" w14:textId="77777777" w:rsidR="008B1C66" w:rsidRDefault="00F0363E">
      <w:pPr>
        <w:numPr>
          <w:ilvl w:val="0"/>
          <w:numId w:val="18"/>
        </w:numPr>
        <w:spacing w:after="120" w:line="276" w:lineRule="auto"/>
        <w:ind w:left="851" w:hanging="425"/>
        <w:jc w:val="both"/>
        <w:rPr>
          <w:rFonts w:cs="Times New Roman"/>
        </w:rPr>
      </w:pPr>
      <w:r>
        <w:t>czuwa nad prawidłowym przebiegiem procesu oceny i wyboru, poprawnością przygotowywanej przez Radę dokumentacji oraz jej zgodnością formalną z postanowieniami regulaminu, Statutu i stosowanymi przez LGD procedurami.</w:t>
      </w:r>
    </w:p>
    <w:p w14:paraId="5564A4A6" w14:textId="77777777" w:rsidR="008B1C66" w:rsidRDefault="00F0363E">
      <w:pPr>
        <w:numPr>
          <w:ilvl w:val="0"/>
          <w:numId w:val="4"/>
        </w:numPr>
        <w:tabs>
          <w:tab w:val="clear" w:pos="720"/>
        </w:tabs>
        <w:spacing w:after="120" w:line="276" w:lineRule="auto"/>
        <w:ind w:left="426" w:hanging="426"/>
        <w:jc w:val="both"/>
        <w:rPr>
          <w:rFonts w:cs="Times New Roman"/>
        </w:rPr>
      </w:pPr>
      <w:r>
        <w:rPr>
          <w:rFonts w:cs="Times New Roman"/>
        </w:rPr>
        <w:t>Pełniąc swą funkcję Przewodniczący Rady współpracuje z Zarządem i Biurem LGD oraz korzysta z ich pomocy.</w:t>
      </w:r>
    </w:p>
    <w:p w14:paraId="5564A4A7" w14:textId="77777777" w:rsidR="008B1C66" w:rsidRDefault="00F0363E">
      <w:pPr>
        <w:numPr>
          <w:ilvl w:val="0"/>
          <w:numId w:val="4"/>
        </w:numPr>
        <w:tabs>
          <w:tab w:val="clear" w:pos="720"/>
        </w:tabs>
        <w:spacing w:after="120" w:line="276" w:lineRule="auto"/>
        <w:ind w:left="426" w:hanging="426"/>
        <w:jc w:val="both"/>
        <w:rPr>
          <w:rFonts w:cs="Times New Roman"/>
        </w:rPr>
      </w:pPr>
      <w:r>
        <w:rPr>
          <w:rFonts w:cs="Times New Roman"/>
        </w:rPr>
        <w:t>W razie niemożności wykonywania przez Przewodniczącego Rady swoich funkcji, jego obowiązki przejmuje Wiceprzewodniczący Rady. W przypadku niemożności wykonywania przez Przewodniczącego Rady bądź Wiceprzewodniczącego Rady swoich funkcji, osoba, która przejmie obowiązki Przewodniczącego Rady wybierana jest każdorazowo na posiedzeniu Rady.</w:t>
      </w:r>
    </w:p>
    <w:p w14:paraId="5564A4A8" w14:textId="77777777" w:rsidR="008B1C66" w:rsidRPr="0073307A" w:rsidRDefault="00F0363E">
      <w:pPr>
        <w:numPr>
          <w:ilvl w:val="0"/>
          <w:numId w:val="4"/>
        </w:numPr>
        <w:tabs>
          <w:tab w:val="clear" w:pos="720"/>
        </w:tabs>
        <w:spacing w:after="120" w:line="276" w:lineRule="auto"/>
        <w:ind w:left="426" w:hanging="426"/>
        <w:jc w:val="both"/>
      </w:pPr>
      <w:r w:rsidRPr="0073307A">
        <w:rPr>
          <w:rFonts w:cs="Times New Roman"/>
        </w:rPr>
        <w:t xml:space="preserve">Przewodniczący Rady upoważniony jest do przedstawiania w imieniu Rady opinii w sprawie zmian, których zamierza dokonać beneficjent w ramach realizacji operacji wybranej uprzednio przez LGD do finansowania. W takiej sytuacji Biuro wraz z Przewodniczącym analizuje treść przekazanej przez beneficjenta informacji dotyczącej charakteru zmian. Jeżeli zakres opisywanych zmian pozostaje całkowicie bez wpływu na kwestie podlegające ocenie przez Radę w ramach naboru opinia Rady jest pozytywna, a jeżeli zakres opisywanych zmian dotyczy kwestii ocenianych przez Radę w ramach naboru wniosek będzie podlegał ponownej ocenie przez członków Rady. Opinia będzie pozytywna jeżeli na skutek uwzględnienia zmian  operacja nadal zostałaby wybrana do realizacji i mieściłaby się w limicie środków w ramach danego naboru. W innym przypadku opinia Rady będzie negatywna. </w:t>
      </w:r>
    </w:p>
    <w:p w14:paraId="5564A4A9" w14:textId="77777777" w:rsidR="008B1C66" w:rsidRPr="0073307A" w:rsidRDefault="00F0363E">
      <w:pPr>
        <w:numPr>
          <w:ilvl w:val="0"/>
          <w:numId w:val="4"/>
        </w:numPr>
        <w:tabs>
          <w:tab w:val="clear" w:pos="720"/>
        </w:tabs>
        <w:spacing w:after="120" w:line="276" w:lineRule="auto"/>
        <w:ind w:left="426" w:hanging="426"/>
        <w:jc w:val="both"/>
        <w:rPr>
          <w:rFonts w:cs="Times New Roman"/>
        </w:rPr>
      </w:pPr>
      <w:r w:rsidRPr="0073307A">
        <w:rPr>
          <w:rFonts w:cs="Times New Roman"/>
        </w:rPr>
        <w:t>Jeżeli Przewodniczący Rady przedstawi w imieniu Rady pisemną opinię, o której mowa w ust. 4, powinien o niej poinformować Radę na najbliższym posiedzeniu tego organu. Opinia każdorazowo jest wydawana i podpisywana przez Przewodniczącego Rady.</w:t>
      </w:r>
    </w:p>
    <w:p w14:paraId="5564A4AB" w14:textId="77777777" w:rsidR="008B1C66" w:rsidRDefault="008B1C66">
      <w:pPr>
        <w:spacing w:line="276" w:lineRule="auto"/>
        <w:rPr>
          <w:rFonts w:cs="Times New Roman"/>
          <w:color w:val="000000"/>
        </w:rPr>
      </w:pPr>
    </w:p>
    <w:p w14:paraId="5564A4AC" w14:textId="77777777" w:rsidR="008B1C66" w:rsidRDefault="00F0363E">
      <w:pPr>
        <w:spacing w:after="120" w:line="276" w:lineRule="auto"/>
        <w:jc w:val="center"/>
        <w:rPr>
          <w:rFonts w:cs="Times New Roman"/>
          <w:b/>
          <w:bCs/>
        </w:rPr>
      </w:pPr>
      <w:r>
        <w:rPr>
          <w:rFonts w:cs="Times New Roman"/>
          <w:b/>
          <w:bCs/>
        </w:rPr>
        <w:t>ROZDZIAŁ IV</w:t>
      </w:r>
    </w:p>
    <w:p w14:paraId="5564A4AD" w14:textId="77777777" w:rsidR="008B1C66" w:rsidRDefault="00F0363E">
      <w:pPr>
        <w:spacing w:after="120" w:line="276" w:lineRule="auto"/>
        <w:jc w:val="center"/>
        <w:rPr>
          <w:rFonts w:cs="Times New Roman"/>
          <w:b/>
        </w:rPr>
      </w:pPr>
      <w:r>
        <w:rPr>
          <w:rFonts w:cs="Times New Roman"/>
          <w:b/>
        </w:rPr>
        <w:t>Przygotowanie i zwołanie posiedzeń Rady</w:t>
      </w:r>
    </w:p>
    <w:p w14:paraId="5564A4AE" w14:textId="77777777" w:rsidR="008B1C66" w:rsidRDefault="00F0363E">
      <w:pPr>
        <w:spacing w:after="120" w:line="276" w:lineRule="auto"/>
        <w:jc w:val="center"/>
        <w:rPr>
          <w:rFonts w:cs="Times New Roman"/>
          <w:b/>
        </w:rPr>
      </w:pPr>
      <w:r>
        <w:rPr>
          <w:rFonts w:cs="Times New Roman"/>
          <w:b/>
        </w:rPr>
        <w:t>§ 9</w:t>
      </w:r>
    </w:p>
    <w:p w14:paraId="5564A4AF" w14:textId="77777777" w:rsidR="008B1C66" w:rsidRDefault="00F0363E">
      <w:pPr>
        <w:numPr>
          <w:ilvl w:val="0"/>
          <w:numId w:val="19"/>
        </w:numPr>
        <w:tabs>
          <w:tab w:val="clear" w:pos="720"/>
        </w:tabs>
        <w:spacing w:after="120" w:line="276" w:lineRule="auto"/>
        <w:ind w:left="426" w:hanging="426"/>
        <w:jc w:val="both"/>
        <w:rPr>
          <w:rFonts w:cs="Times New Roman"/>
          <w:color w:val="000000"/>
        </w:rPr>
      </w:pPr>
      <w:r>
        <w:rPr>
          <w:rFonts w:cs="Times New Roman"/>
          <w:color w:val="000000"/>
        </w:rPr>
        <w:t xml:space="preserve">Posiedzenia Rady są zwoływane odpowiednio do potrzeb wynikających z realizacji LSR </w:t>
      </w:r>
      <w:r>
        <w:rPr>
          <w:rFonts w:cs="Times New Roman"/>
          <w:color w:val="000000"/>
        </w:rPr>
        <w:lastRenderedPageBreak/>
        <w:t>i załączników do umowy ramowej zawartej przez LGD z Samorządem Województwa Opolskiego.</w:t>
      </w:r>
    </w:p>
    <w:p w14:paraId="5564A4B0" w14:textId="77777777" w:rsidR="008B1C66" w:rsidRDefault="00F0363E">
      <w:pPr>
        <w:numPr>
          <w:ilvl w:val="0"/>
          <w:numId w:val="19"/>
        </w:numPr>
        <w:tabs>
          <w:tab w:val="clear" w:pos="720"/>
        </w:tabs>
        <w:spacing w:after="120" w:line="276" w:lineRule="auto"/>
        <w:ind w:left="426" w:hanging="426"/>
        <w:jc w:val="both"/>
        <w:rPr>
          <w:rFonts w:cs="Times New Roman"/>
          <w:color w:val="000000"/>
        </w:rPr>
      </w:pPr>
      <w:r>
        <w:rPr>
          <w:rFonts w:cs="Times New Roman"/>
          <w:color w:val="000000"/>
        </w:rPr>
        <w:t>Zarząd niezwłocznie po ogłoszeniu naboru w sposób i w formie określonej w odrębnych dokumentach, informuje Przewodniczącego Rady o konieczności zwołania posiedzenia Rady w celu wyboru wniosków, wskazując mu przybliżony termin tego posiedzenia, mając na uwadze, że dokonanie wyboru operacji, ustalenie kwoty wsparcia i przekazanie do Zarządu Województwa wybranych do realizacji wniosków wraz z dokumentacją z naboru powinno nastąpić w terminie 60 dni od dni od dnia zakończenia terminu składania wniosków, który został określony w ogłoszeniu o naborze wniosków.</w:t>
      </w:r>
    </w:p>
    <w:p w14:paraId="5564A4B1" w14:textId="77777777" w:rsidR="008B1C66" w:rsidRDefault="00F0363E">
      <w:pPr>
        <w:numPr>
          <w:ilvl w:val="0"/>
          <w:numId w:val="19"/>
        </w:numPr>
        <w:tabs>
          <w:tab w:val="clear" w:pos="720"/>
        </w:tabs>
        <w:spacing w:after="120" w:line="276" w:lineRule="auto"/>
        <w:ind w:left="426" w:hanging="426"/>
        <w:jc w:val="both"/>
        <w:rPr>
          <w:rFonts w:cs="Times New Roman"/>
          <w:color w:val="000000"/>
        </w:rPr>
      </w:pPr>
      <w:r>
        <w:rPr>
          <w:rFonts w:cs="Times New Roman"/>
          <w:color w:val="000000"/>
        </w:rPr>
        <w:t>W przypadku projektów grantowych, Zarząd informuje Przewodniczącego Rady o konieczności zwołania posiedzenia Rady w celu dokonania oceny wniosków o powierzenie grantu złożonych przez grantobiorców, wskazując przybliżony termin, w którym posiedzenie Rady powinno się odbyć, nie krótszy niż 14 i nie dłuższy niż 21 dni od ostatniego dnia wyznaczonego do składania wniosków przez grantobiorców w danym naborze.</w:t>
      </w:r>
    </w:p>
    <w:p w14:paraId="5564A4B2" w14:textId="77777777" w:rsidR="008B1C66" w:rsidRDefault="008B1C66">
      <w:pPr>
        <w:spacing w:line="276" w:lineRule="auto"/>
        <w:rPr>
          <w:rFonts w:cs="Times New Roman"/>
        </w:rPr>
      </w:pPr>
    </w:p>
    <w:p w14:paraId="5564A4B3" w14:textId="77777777" w:rsidR="008B1C66" w:rsidRDefault="00F0363E">
      <w:pPr>
        <w:spacing w:after="120" w:line="276" w:lineRule="auto"/>
        <w:jc w:val="center"/>
        <w:rPr>
          <w:rFonts w:cs="Times New Roman"/>
          <w:b/>
        </w:rPr>
      </w:pPr>
      <w:r>
        <w:rPr>
          <w:rFonts w:cs="Times New Roman"/>
          <w:b/>
        </w:rPr>
        <w:t>§ 10</w:t>
      </w:r>
    </w:p>
    <w:p w14:paraId="5564A4B4" w14:textId="77777777" w:rsidR="008B1C66" w:rsidRDefault="00F0363E">
      <w:pPr>
        <w:numPr>
          <w:ilvl w:val="0"/>
          <w:numId w:val="20"/>
        </w:numPr>
        <w:tabs>
          <w:tab w:val="clear" w:pos="720"/>
        </w:tabs>
        <w:spacing w:after="120" w:line="276" w:lineRule="auto"/>
        <w:ind w:left="426" w:hanging="426"/>
        <w:jc w:val="both"/>
        <w:rPr>
          <w:rFonts w:cs="Times New Roman"/>
        </w:rPr>
      </w:pPr>
      <w:r>
        <w:rPr>
          <w:rFonts w:cs="Times New Roman"/>
          <w:color w:val="000000"/>
        </w:rPr>
        <w:t xml:space="preserve">Posiedzenia Rady zwołuje Przewodniczący Rady, konsultując miejsce, termin i porządek posiedzenia z Zarządem i Biurem, będąc </w:t>
      </w:r>
      <w:r>
        <w:rPr>
          <w:rFonts w:cs="Times New Roman"/>
        </w:rPr>
        <w:t>jednak związany przybliżonymi terminami wyznaczonymi przez Zarząd, o których mowa w § 9 ust. 2 i 3. Przewodniczący Rady decyduje również o tym, czy posiedzenie Rady odbędzie się w sposób zdalny, o którym mowa w Rozdziale VI regulaminu, informując o tym wcześniej Zarząd i Biuro.</w:t>
      </w:r>
    </w:p>
    <w:p w14:paraId="5564A4B5"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 xml:space="preserve">Niezwłocznie po dokonaniu uzgodnienia, o którym </w:t>
      </w:r>
      <w:r>
        <w:rPr>
          <w:color w:val="000000"/>
        </w:rPr>
        <w:t xml:space="preserve">mowa w ust. </w:t>
      </w:r>
      <w:r>
        <w:rPr>
          <w:rFonts w:cs="Times New Roman"/>
          <w:color w:val="000000"/>
        </w:rPr>
        <w:t xml:space="preserve">1, </w:t>
      </w:r>
      <w:r>
        <w:rPr>
          <w:color w:val="000000"/>
        </w:rPr>
        <w:t>Przewodniczący</w:t>
      </w:r>
      <w:r>
        <w:rPr>
          <w:rFonts w:cs="Times New Roman"/>
          <w:color w:val="000000"/>
        </w:rPr>
        <w:t xml:space="preserve"> Rady występuje do Biura z wnioskiem o:</w:t>
      </w:r>
    </w:p>
    <w:p w14:paraId="5564A4B6" w14:textId="77777777" w:rsidR="008B1C66" w:rsidRDefault="00F0363E">
      <w:pPr>
        <w:numPr>
          <w:ilvl w:val="0"/>
          <w:numId w:val="30"/>
        </w:numPr>
        <w:spacing w:after="120" w:line="276" w:lineRule="auto"/>
        <w:ind w:left="851" w:hanging="425"/>
        <w:jc w:val="both"/>
        <w:rPr>
          <w:rFonts w:cs="Times New Roman"/>
          <w:color w:val="000000"/>
        </w:rPr>
      </w:pPr>
      <w:r>
        <w:rPr>
          <w:rFonts w:cs="Times New Roman"/>
          <w:color w:val="000000"/>
        </w:rPr>
        <w:t>zawiadomienie Członków Rady o terminie i porządku posiedzenia;</w:t>
      </w:r>
    </w:p>
    <w:p w14:paraId="5564A4B7" w14:textId="77777777" w:rsidR="008B1C66" w:rsidRDefault="00F0363E">
      <w:pPr>
        <w:numPr>
          <w:ilvl w:val="0"/>
          <w:numId w:val="30"/>
        </w:numPr>
        <w:spacing w:after="120" w:line="276" w:lineRule="auto"/>
        <w:ind w:left="851" w:hanging="425"/>
        <w:jc w:val="both"/>
        <w:rPr>
          <w:rFonts w:cs="Times New Roman"/>
          <w:color w:val="000000"/>
        </w:rPr>
      </w:pPr>
      <w:r>
        <w:rPr>
          <w:rFonts w:cs="Times New Roman"/>
          <w:color w:val="000000"/>
        </w:rPr>
        <w:t>opublikowanie ogłoszenia o posiedzeniu na stronie internetowej LGD, przy czym ogłoszenie o terminie i porządku posiedzenia powinno być umieszczone na stronie internetowej LGD co najmniej do zakończenia danego posiedzenia;</w:t>
      </w:r>
    </w:p>
    <w:p w14:paraId="5564A4B8" w14:textId="77777777" w:rsidR="008B1C66" w:rsidRDefault="00F0363E">
      <w:pPr>
        <w:numPr>
          <w:ilvl w:val="0"/>
          <w:numId w:val="30"/>
        </w:numPr>
        <w:spacing w:after="120" w:line="276" w:lineRule="auto"/>
        <w:ind w:left="851" w:hanging="425"/>
        <w:jc w:val="both"/>
        <w:rPr>
          <w:rFonts w:cs="Times New Roman"/>
          <w:color w:val="000000"/>
        </w:rPr>
      </w:pPr>
      <w:r>
        <w:rPr>
          <w:rFonts w:cs="Times New Roman"/>
          <w:color w:val="000000"/>
        </w:rPr>
        <w:t>przygotowanie dla Członków Rady dokumentów niezbędnych do dokonania oceny operacji, w tym kart oceny operacji oraz wniosków dotyczących operacji, które mają podlegać ocenie – w szczególności przeniesienie z systemu IT do systemu informatycznego LGD dokumentacji niezbędnej do dokonania takiej oceny, w tym w szczególności wniosków wraz z wszystkimi załącznikami.</w:t>
      </w:r>
    </w:p>
    <w:p w14:paraId="5564A4B9"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 xml:space="preserve">Członkowie Rady powinni zostać zawiadomieni drogą elektroniczną, na adres, o którym mowa w § 3 ust. 14, o miejscu, terminie i porządku posiedzenia Rady, najpóźniej 7 dni przed terminem posiedzenia. Jeżeli posiedzenie odbywać się będzie w formie zdalnej, o której mowa w Rozdziale VI regulaminu, zawiadomienie powinno zawierać informację o tej okoliczności oraz o technicznych aspektach przeprowadzenia takiego posiedzenia (programie, przy pomocy którego posiedzenie zostanie przeprowadzone, wymaganiach technicznych jakie powinien spełniać sprzęt elektroniczny Członka Rady, by mógł on uczestniczyć w takim posiedzeniu) W przypadku gdy Przewodniczący Rady uzna to za uzasadnione, może zadecydować o konieczności przekazania powyższego zawiadomienia do niektórych lub wszystkich Członków Rady również za pośrednictwem tradycyjnej poczty lub w formie wiadomości tekstowej </w:t>
      </w:r>
      <w:r>
        <w:rPr>
          <w:rFonts w:cs="Times New Roman"/>
          <w:color w:val="000000"/>
        </w:rPr>
        <w:lastRenderedPageBreak/>
        <w:t>na telefon komórkowy Członka Rady.</w:t>
      </w:r>
    </w:p>
    <w:p w14:paraId="5564A4BA"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W okresie co najmniej 7 dni przed terminem posiedzenia Rady jej Członkowie powinni mieć możliwość zapoznania się ze wszystkimi materiałami i dokumentami związanymi z porządkiem posiedzenia, w tym z wnioskami, które będą rozpatrywane podczas posiedzenia chyba że dokumenty te, dostarczone przez wnioskodawcę w odpowiedzi na otrzymane od LGD wezwanie do złożenia wyjaśnień lub dokumentów, zostały złożone do LGD w terminie uniemożliwiającym zachowanie wskazanego wyżej 7-dniowego terminu. Materiały i dokumenty, o których mowa w tym ustępie, powinny zostać wprowadzone przez Biuro do systemu informatycznego LGD, w szczególności przeniesione do niego z systemu IT. W przypadku braku możliwości zapoznania się z tymi dokumentami przez Członka Rady, w szczególności w przypadku braku dostępu do systemu informatycznego LGD, Członek Rady jest zobowiązany niezwłocznie zawiadomić o tym fakcie Przewodniczącego Rady oraz Biuro.</w:t>
      </w:r>
    </w:p>
    <w:p w14:paraId="5564A4BB"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Niniejszy paragraf oraz § 9 stosuje się odpowiednio w przypadku posiedzenia Rady zwołanego na skutek złożenia protestu, w celu dokonania weryfikacji wyników dokonanej oceny w zakresie warunków, kryteriów i zarzutów podniesionych w proteście w trybie art. 22c ust. 3 ustawy o RLKS, dokonania ponownej oceny operacji w trybie art. 22e ust. 2 ustawy o RLKS, dokonania oceny operacji na skutek uwzględnienia skargi wnioskodawcy do sądu administracyjnego zgodnie z art. 22h ust. 9 ustawy o RLKS, a także w przypadku zwołania posiedzenia Rady w celu rozpatrzenia odwołania od oceny wniosku o powierzenie grantu.</w:t>
      </w:r>
    </w:p>
    <w:p w14:paraId="5564A4BC"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Ocena wniosków, wybór operacji i ustalenie kwoty wsparcia przy pomocy programu informatycznego LGD, jeżeli program komputerowy umożliwia ustalenie sposobu głosowania przez każdego z członków Rady. Wypełniane przez Członka Rady w tym programie komputerowym formularze dotyczące oceny wniosków powinny zawierać analogiczne pytania, co informacje zawarte na kartach oceny operacji, o których mowa w dalszej części regulaminu.</w:t>
      </w:r>
    </w:p>
    <w:p w14:paraId="5564A4BD" w14:textId="77777777" w:rsidR="008B1C66" w:rsidRDefault="00F0363E">
      <w:pPr>
        <w:numPr>
          <w:ilvl w:val="0"/>
          <w:numId w:val="20"/>
        </w:numPr>
        <w:tabs>
          <w:tab w:val="clear" w:pos="720"/>
        </w:tabs>
        <w:spacing w:after="120" w:line="276" w:lineRule="auto"/>
        <w:ind w:left="426" w:hanging="426"/>
        <w:jc w:val="both"/>
        <w:rPr>
          <w:rFonts w:cs="Times New Roman"/>
          <w:color w:val="000000"/>
        </w:rPr>
      </w:pPr>
      <w:r>
        <w:rPr>
          <w:rFonts w:cs="Times New Roman"/>
          <w:color w:val="000000"/>
        </w:rPr>
        <w:t xml:space="preserve">Członkowie Rady dokonują elektronicznej, roboczej oceny wniosków przez zaplanowanym posiedzeniem Rady, co oznacza wypełnienie przez Członka Rady w systemie informatycznym LGD formularzy zawierających pytania dotyczące oceny wniosków. </w:t>
      </w:r>
    </w:p>
    <w:p w14:paraId="5564A4BE" w14:textId="77777777" w:rsidR="008B1C66" w:rsidRDefault="00F0363E">
      <w:pPr>
        <w:numPr>
          <w:ilvl w:val="0"/>
          <w:numId w:val="20"/>
        </w:numPr>
        <w:tabs>
          <w:tab w:val="clear" w:pos="720"/>
        </w:tabs>
        <w:spacing w:after="120" w:line="276" w:lineRule="auto"/>
        <w:ind w:left="426" w:hanging="426"/>
        <w:jc w:val="both"/>
      </w:pPr>
      <w:r>
        <w:rPr>
          <w:rFonts w:cs="Times New Roman"/>
          <w:color w:val="000000"/>
        </w:rPr>
        <w:t>Biuro przed zaplanowanym posiedzeniem Rady dokonuje oceny formalnej wniosków polegającej na weryfikacji kompletności wniosku tj. sprawdzeniu czy zawiera on wszystkie wymagane załączniki oraz czy został on wypełniony we wszystkich wymaganych polach.</w:t>
      </w:r>
      <w:r>
        <w:rPr>
          <w:rFonts w:cs="Times New Roman"/>
          <w:color w:val="000000"/>
          <w:highlight w:val="yellow"/>
        </w:rPr>
        <w:t xml:space="preserve"> </w:t>
      </w:r>
      <w:r>
        <w:rPr>
          <w:rFonts w:cs="Times New Roman"/>
          <w:color w:val="000000"/>
        </w:rPr>
        <w:t xml:space="preserve">Członkowie Rady dokonują oceny merytorycznej wniosku w zakresie spełniania warunków przyznania pomocy oraz kryteriów wyboru, uwzględniając w szczególności wyjaśnienia </w:t>
      </w:r>
      <w:r>
        <w:rPr>
          <w:rFonts w:cs="Times New Roman"/>
          <w:color w:val="000000"/>
        </w:rPr>
        <w:br/>
        <w:t xml:space="preserve">i dokumenty złożone przez wnioskodawców w trybie art. 21 ust. 1a i 1c ustawy o RLKS. Biuro wprowadza wynik oceny formalnej do systemu informatycznego LGD, tak by był on widoczny dla Członków Rady. Członkowie Rady dokonując roboczej oceny wniosków, o której mowa </w:t>
      </w:r>
      <w:r>
        <w:rPr>
          <w:rFonts w:cs="Times New Roman"/>
          <w:color w:val="000000"/>
        </w:rPr>
        <w:br/>
        <w:t xml:space="preserve">w ust. 7, mają możliwość zatwierdzenia lub odrzucenia wyniku oceny Biura, o którym mowa w poprzednim zdaniu. Pracownik Biura dokonujący oceny formalnej wypełnia deklarację bezstronności która stanowi </w:t>
      </w:r>
      <w:r>
        <w:rPr>
          <w:rFonts w:cs="Times New Roman"/>
          <w:b/>
          <w:bCs/>
          <w:color w:val="000000"/>
        </w:rPr>
        <w:t>załącznik nr 3 do Regulaminu Rady.</w:t>
      </w:r>
    </w:p>
    <w:p w14:paraId="5564A4BF" w14:textId="77777777" w:rsidR="008B1C66" w:rsidRDefault="008B1C66">
      <w:pPr>
        <w:spacing w:line="276" w:lineRule="auto"/>
        <w:jc w:val="center"/>
        <w:rPr>
          <w:rFonts w:cs="Times New Roman"/>
        </w:rPr>
      </w:pPr>
    </w:p>
    <w:p w14:paraId="5564A4C0" w14:textId="77777777" w:rsidR="008B1C66" w:rsidRDefault="00F0363E">
      <w:pPr>
        <w:spacing w:after="120" w:line="276" w:lineRule="auto"/>
        <w:jc w:val="center"/>
        <w:rPr>
          <w:rFonts w:cs="Times New Roman"/>
          <w:b/>
        </w:rPr>
      </w:pPr>
      <w:r>
        <w:rPr>
          <w:rFonts w:cs="Times New Roman"/>
          <w:b/>
        </w:rPr>
        <w:t>§ 11</w:t>
      </w:r>
    </w:p>
    <w:p w14:paraId="5564A4C1" w14:textId="77777777" w:rsidR="008B1C66" w:rsidRDefault="00F0363E">
      <w:pPr>
        <w:numPr>
          <w:ilvl w:val="0"/>
          <w:numId w:val="5"/>
        </w:numPr>
        <w:tabs>
          <w:tab w:val="clear" w:pos="720"/>
        </w:tabs>
        <w:spacing w:after="120" w:line="276" w:lineRule="auto"/>
        <w:ind w:left="426" w:hanging="426"/>
        <w:jc w:val="both"/>
        <w:rPr>
          <w:rFonts w:cs="Times New Roman"/>
        </w:rPr>
      </w:pPr>
      <w:r>
        <w:rPr>
          <w:rFonts w:cs="Times New Roman"/>
        </w:rPr>
        <w:t>W przypadku dużej liczby spraw do rozpatrzenia, Przewodniczący Rady może zwołać posiedzenie trwające dwa lub więcej dni.</w:t>
      </w:r>
    </w:p>
    <w:p w14:paraId="5564A4C2" w14:textId="77777777" w:rsidR="008B1C66" w:rsidRDefault="00F0363E">
      <w:pPr>
        <w:numPr>
          <w:ilvl w:val="0"/>
          <w:numId w:val="5"/>
        </w:numPr>
        <w:tabs>
          <w:tab w:val="clear" w:pos="720"/>
        </w:tabs>
        <w:spacing w:after="120" w:line="276" w:lineRule="auto"/>
        <w:ind w:left="426" w:hanging="426"/>
        <w:jc w:val="both"/>
        <w:rPr>
          <w:rFonts w:cs="Times New Roman"/>
        </w:rPr>
      </w:pPr>
      <w:r>
        <w:rPr>
          <w:rFonts w:cs="Times New Roman"/>
        </w:rPr>
        <w:lastRenderedPageBreak/>
        <w:t>Jeżeli posiedzenie Rady, przedłuży się do tego stopnia, że w danym dniu nie zostaną załatwione wszystkie sprawy przewidziane w dziennym porządku posiedzenia, Przewodniczący Rady, po zasięgnięciu opinii Członków Rady, może podjąć decyzję albo o obradowaniu tego dnia aż do załatwienia wszystkich spraw albo o przełożeniu niezałatwionych tego dnia spraw na następny dzień, choćby wcześniej ten dzień nie był przewidziany jako dzień posiedzenia Rady.</w:t>
      </w:r>
    </w:p>
    <w:p w14:paraId="5564A4C3" w14:textId="77777777" w:rsidR="008B1C66" w:rsidRDefault="00F0363E">
      <w:pPr>
        <w:numPr>
          <w:ilvl w:val="0"/>
          <w:numId w:val="5"/>
        </w:numPr>
        <w:tabs>
          <w:tab w:val="clear" w:pos="720"/>
        </w:tabs>
        <w:spacing w:after="120" w:line="276" w:lineRule="auto"/>
        <w:ind w:left="426" w:hanging="426"/>
        <w:jc w:val="both"/>
        <w:rPr>
          <w:rFonts w:cs="Times New Roman"/>
        </w:rPr>
      </w:pPr>
      <w:r>
        <w:rPr>
          <w:rFonts w:cs="Times New Roman"/>
        </w:rPr>
        <w:t>Jeżeli na zaplanowanym posiedzeniu nie uda się załatwić wszystkich spraw ze względu na wątpliwości dotyczące oceny poszczególnych wniosków, Przewodniczący Rady, w sytuacjach określonych w regulaminie, może zarządzić przerwę, wyznaczając z góry nowy termin posiedzenia.</w:t>
      </w:r>
    </w:p>
    <w:p w14:paraId="5564A4C4" w14:textId="77777777" w:rsidR="008B1C66" w:rsidRDefault="008B1C66">
      <w:pPr>
        <w:spacing w:line="276" w:lineRule="auto"/>
        <w:rPr>
          <w:rFonts w:cs="Times New Roman"/>
        </w:rPr>
      </w:pPr>
    </w:p>
    <w:p w14:paraId="5564A4C5" w14:textId="77777777" w:rsidR="008B1C66" w:rsidRDefault="00F0363E">
      <w:pPr>
        <w:spacing w:after="120" w:line="276" w:lineRule="auto"/>
        <w:jc w:val="center"/>
        <w:rPr>
          <w:rFonts w:cs="Times New Roman"/>
          <w:b/>
          <w:bCs/>
        </w:rPr>
      </w:pPr>
      <w:r>
        <w:rPr>
          <w:rFonts w:cs="Times New Roman"/>
          <w:b/>
          <w:bCs/>
        </w:rPr>
        <w:t>ROZDZIAŁ V</w:t>
      </w:r>
    </w:p>
    <w:p w14:paraId="5564A4C6" w14:textId="77777777" w:rsidR="008B1C66" w:rsidRDefault="00F0363E">
      <w:pPr>
        <w:spacing w:after="120" w:line="276" w:lineRule="auto"/>
        <w:jc w:val="center"/>
        <w:rPr>
          <w:rFonts w:cs="Times New Roman"/>
          <w:b/>
        </w:rPr>
      </w:pPr>
      <w:r>
        <w:rPr>
          <w:rFonts w:cs="Times New Roman"/>
          <w:b/>
        </w:rPr>
        <w:t>Posiedzenie Rady</w:t>
      </w:r>
    </w:p>
    <w:p w14:paraId="5564A4C7" w14:textId="77777777" w:rsidR="008B1C66" w:rsidRDefault="008B1C66">
      <w:pPr>
        <w:spacing w:line="276" w:lineRule="auto"/>
        <w:rPr>
          <w:rFonts w:cs="Times New Roman"/>
        </w:rPr>
      </w:pPr>
    </w:p>
    <w:p w14:paraId="5564A4C8" w14:textId="77777777" w:rsidR="008B1C66" w:rsidRDefault="00F0363E">
      <w:pPr>
        <w:spacing w:after="120" w:line="276" w:lineRule="auto"/>
        <w:jc w:val="center"/>
        <w:rPr>
          <w:rFonts w:cs="Times New Roman"/>
          <w:b/>
        </w:rPr>
      </w:pPr>
      <w:r>
        <w:rPr>
          <w:rFonts w:cs="Times New Roman"/>
          <w:b/>
        </w:rPr>
        <w:t>§ 12</w:t>
      </w:r>
    </w:p>
    <w:p w14:paraId="5564A4C9" w14:textId="77777777" w:rsidR="008B1C66" w:rsidRDefault="00F0363E">
      <w:pPr>
        <w:numPr>
          <w:ilvl w:val="0"/>
          <w:numId w:val="6"/>
        </w:numPr>
        <w:tabs>
          <w:tab w:val="clear" w:pos="720"/>
        </w:tabs>
        <w:spacing w:after="120" w:line="276" w:lineRule="auto"/>
        <w:ind w:left="426" w:hanging="426"/>
        <w:jc w:val="both"/>
        <w:rPr>
          <w:rFonts w:cs="Times New Roman"/>
        </w:rPr>
      </w:pPr>
      <w:r>
        <w:rPr>
          <w:rFonts w:cs="Times New Roman"/>
        </w:rPr>
        <w:t>Posiedzenia Rady s</w:t>
      </w:r>
      <w:r>
        <w:rPr>
          <w:rFonts w:eastAsia="Times New Roman" w:cs="Times New Roman"/>
        </w:rPr>
        <w:t xml:space="preserve">ą </w:t>
      </w:r>
      <w:r>
        <w:rPr>
          <w:rFonts w:cs="Times New Roman"/>
        </w:rPr>
        <w:t>jawne. W przypadku posiedzeń zdalnych jawność zapewniona jest poprzez publiczne udostępnienie protokołu i dokumentacji z posiedzenia Rady.</w:t>
      </w:r>
    </w:p>
    <w:p w14:paraId="5564A4CA" w14:textId="77777777" w:rsidR="008B1C66" w:rsidRDefault="00F0363E">
      <w:pPr>
        <w:numPr>
          <w:ilvl w:val="0"/>
          <w:numId w:val="6"/>
        </w:numPr>
        <w:tabs>
          <w:tab w:val="clear" w:pos="720"/>
        </w:tabs>
        <w:spacing w:after="120" w:line="276" w:lineRule="auto"/>
        <w:ind w:left="426" w:hanging="426"/>
        <w:jc w:val="both"/>
        <w:rPr>
          <w:rFonts w:cs="Times New Roman"/>
        </w:rPr>
      </w:pPr>
      <w:r>
        <w:rPr>
          <w:rFonts w:cs="Times New Roman"/>
        </w:rPr>
        <w:t>W posiedzeniach Rady uczestniczy Prezes Zarz</w:t>
      </w:r>
      <w:r>
        <w:rPr>
          <w:rFonts w:eastAsia="Times New Roman" w:cs="Times New Roman"/>
        </w:rPr>
        <w:t>ą</w:t>
      </w:r>
      <w:r>
        <w:rPr>
          <w:rFonts w:cs="Times New Roman"/>
        </w:rPr>
        <w:t>du lub wskazany przez niego członek Zarz</w:t>
      </w:r>
      <w:r>
        <w:rPr>
          <w:rFonts w:eastAsia="Times New Roman" w:cs="Times New Roman"/>
        </w:rPr>
        <w:t>ą</w:t>
      </w:r>
      <w:r>
        <w:rPr>
          <w:rFonts w:cs="Times New Roman"/>
        </w:rPr>
        <w:t>du oraz pracownik Biura.</w:t>
      </w:r>
    </w:p>
    <w:p w14:paraId="5564A4CB" w14:textId="77777777" w:rsidR="008B1C66" w:rsidRDefault="00F0363E">
      <w:pPr>
        <w:numPr>
          <w:ilvl w:val="0"/>
          <w:numId w:val="6"/>
        </w:numPr>
        <w:tabs>
          <w:tab w:val="clear" w:pos="720"/>
        </w:tabs>
        <w:spacing w:after="120" w:line="276" w:lineRule="auto"/>
        <w:ind w:left="426" w:hanging="426"/>
        <w:jc w:val="both"/>
        <w:rPr>
          <w:rFonts w:cs="Times New Roman"/>
        </w:rPr>
      </w:pPr>
      <w:r>
        <w:rPr>
          <w:rFonts w:cs="Times New Roman"/>
        </w:rPr>
        <w:t>Przewodnicz</w:t>
      </w:r>
      <w:r>
        <w:rPr>
          <w:rFonts w:eastAsia="Times New Roman" w:cs="Times New Roman"/>
        </w:rPr>
        <w:t>ą</w:t>
      </w:r>
      <w:r>
        <w:rPr>
          <w:rFonts w:cs="Times New Roman"/>
        </w:rPr>
        <w:t>cy Rady mo</w:t>
      </w:r>
      <w:r>
        <w:rPr>
          <w:rFonts w:eastAsia="Times New Roman" w:cs="Times New Roman"/>
        </w:rPr>
        <w:t>ż</w:t>
      </w:r>
      <w:r>
        <w:rPr>
          <w:rFonts w:cs="Times New Roman"/>
        </w:rPr>
        <w:t>e zaprosi</w:t>
      </w:r>
      <w:r>
        <w:rPr>
          <w:rFonts w:eastAsia="Times New Roman" w:cs="Times New Roman"/>
        </w:rPr>
        <w:t xml:space="preserve">ć </w:t>
      </w:r>
      <w:r>
        <w:rPr>
          <w:rFonts w:cs="Times New Roman"/>
        </w:rPr>
        <w:t>do udziału w posiedzeniu osoby trzecie, w szczególno</w:t>
      </w:r>
      <w:r>
        <w:rPr>
          <w:rFonts w:eastAsia="Times New Roman" w:cs="Times New Roman"/>
        </w:rPr>
        <w:t>ś</w:t>
      </w:r>
      <w:r>
        <w:rPr>
          <w:rFonts w:cs="Times New Roman"/>
        </w:rPr>
        <w:t>ci osoby, których dotycz</w:t>
      </w:r>
      <w:r>
        <w:rPr>
          <w:rFonts w:eastAsia="Times New Roman" w:cs="Times New Roman"/>
        </w:rPr>
        <w:t xml:space="preserve">ą </w:t>
      </w:r>
      <w:r>
        <w:rPr>
          <w:rFonts w:cs="Times New Roman"/>
        </w:rPr>
        <w:t>sprawy przewidziane w porz</w:t>
      </w:r>
      <w:r>
        <w:rPr>
          <w:rFonts w:eastAsia="Times New Roman" w:cs="Times New Roman"/>
        </w:rPr>
        <w:t>ą</w:t>
      </w:r>
      <w:r>
        <w:rPr>
          <w:rFonts w:cs="Times New Roman"/>
        </w:rPr>
        <w:t xml:space="preserve">dku posiedzenia. </w:t>
      </w:r>
    </w:p>
    <w:p w14:paraId="5564A4CC" w14:textId="77777777" w:rsidR="008B1C66" w:rsidRDefault="008B1C66">
      <w:pPr>
        <w:spacing w:line="276" w:lineRule="auto"/>
        <w:rPr>
          <w:rFonts w:cs="Times New Roman"/>
        </w:rPr>
      </w:pPr>
    </w:p>
    <w:p w14:paraId="5564A4CD" w14:textId="77777777" w:rsidR="008B1C66" w:rsidRDefault="00F0363E">
      <w:pPr>
        <w:spacing w:after="120" w:line="276" w:lineRule="auto"/>
        <w:jc w:val="center"/>
        <w:rPr>
          <w:rFonts w:cs="Times New Roman"/>
          <w:b/>
        </w:rPr>
      </w:pPr>
      <w:r>
        <w:rPr>
          <w:rFonts w:cs="Times New Roman"/>
          <w:b/>
        </w:rPr>
        <w:t>§ 13</w:t>
      </w:r>
    </w:p>
    <w:p w14:paraId="5564A4CE" w14:textId="77777777" w:rsidR="008B1C66" w:rsidRDefault="00F0363E">
      <w:pPr>
        <w:numPr>
          <w:ilvl w:val="0"/>
          <w:numId w:val="7"/>
        </w:numPr>
        <w:tabs>
          <w:tab w:val="clear" w:pos="720"/>
        </w:tabs>
        <w:spacing w:after="120" w:line="276" w:lineRule="auto"/>
        <w:ind w:left="426" w:hanging="426"/>
        <w:jc w:val="both"/>
        <w:rPr>
          <w:rFonts w:cs="Times New Roman"/>
        </w:rPr>
      </w:pPr>
      <w:r>
        <w:rPr>
          <w:rFonts w:cs="Times New Roman"/>
        </w:rPr>
        <w:t>Przed otwarciem posiedzenia Członkowie Rady potwierdzaj</w:t>
      </w:r>
      <w:r>
        <w:rPr>
          <w:rFonts w:eastAsia="Times New Roman" w:cs="Times New Roman"/>
        </w:rPr>
        <w:t xml:space="preserve">ą </w:t>
      </w:r>
      <w:r>
        <w:rPr>
          <w:rFonts w:cs="Times New Roman"/>
        </w:rPr>
        <w:t>swoj</w:t>
      </w:r>
      <w:r>
        <w:rPr>
          <w:rFonts w:eastAsia="Times New Roman" w:cs="Times New Roman"/>
        </w:rPr>
        <w:t xml:space="preserve">ą </w:t>
      </w:r>
      <w:r>
        <w:rPr>
          <w:rFonts w:cs="Times New Roman"/>
        </w:rPr>
        <w:t>obecno</w:t>
      </w:r>
      <w:r>
        <w:rPr>
          <w:rFonts w:eastAsia="Times New Roman" w:cs="Times New Roman"/>
        </w:rPr>
        <w:t xml:space="preserve">ść </w:t>
      </w:r>
      <w:r>
        <w:rPr>
          <w:rFonts w:cs="Times New Roman"/>
        </w:rPr>
        <w:t>podpisem na li</w:t>
      </w:r>
      <w:r>
        <w:rPr>
          <w:rFonts w:eastAsia="Times New Roman" w:cs="Times New Roman"/>
        </w:rPr>
        <w:t>ś</w:t>
      </w:r>
      <w:r>
        <w:rPr>
          <w:rFonts w:cs="Times New Roman"/>
        </w:rPr>
        <w:t>cie obecno</w:t>
      </w:r>
      <w:r>
        <w:rPr>
          <w:rFonts w:eastAsia="Times New Roman" w:cs="Times New Roman"/>
        </w:rPr>
        <w:t>ś</w:t>
      </w:r>
      <w:r>
        <w:rPr>
          <w:rFonts w:cs="Times New Roman"/>
        </w:rPr>
        <w:t>ci i wypełniają deklarację bezstronności, przekazując ją Przewodniczącemu Rady. Deklaracje bezstronności mogą być wypełniane w systemie informatycznym LGD. W przypadku posiedzeń zdalnych potwierdzenie obecności dokonywane jest zgodnie z § 19 ust. 5.</w:t>
      </w:r>
    </w:p>
    <w:p w14:paraId="5564A4CF" w14:textId="77777777" w:rsidR="008B1C66" w:rsidRDefault="00F0363E">
      <w:pPr>
        <w:numPr>
          <w:ilvl w:val="0"/>
          <w:numId w:val="7"/>
        </w:numPr>
        <w:tabs>
          <w:tab w:val="clear" w:pos="720"/>
        </w:tabs>
        <w:spacing w:after="120" w:line="276" w:lineRule="auto"/>
        <w:ind w:left="426" w:hanging="426"/>
        <w:jc w:val="both"/>
        <w:rPr>
          <w:rFonts w:cs="Times New Roman"/>
        </w:rPr>
      </w:pPr>
      <w:r>
        <w:rPr>
          <w:rFonts w:cs="Times New Roman"/>
        </w:rPr>
        <w:t>Wcze</w:t>
      </w:r>
      <w:r>
        <w:rPr>
          <w:rFonts w:eastAsia="Times New Roman" w:cs="Times New Roman"/>
        </w:rPr>
        <w:t>ś</w:t>
      </w:r>
      <w:r>
        <w:rPr>
          <w:rFonts w:cs="Times New Roman"/>
        </w:rPr>
        <w:t>niejsze opuszczenie posiedzenia przez Członka Rady wymaga poinformowania o tym Przewodnicz</w:t>
      </w:r>
      <w:r>
        <w:rPr>
          <w:rFonts w:eastAsia="Times New Roman" w:cs="Times New Roman"/>
        </w:rPr>
        <w:t>ą</w:t>
      </w:r>
      <w:r>
        <w:rPr>
          <w:rFonts w:cs="Times New Roman"/>
        </w:rPr>
        <w:t>cego Rady i zostaje zaznaczone w protokole posiedzenia. W przypadku nieusprawiedliwionego opuszczenia posiedzenia przez Członka Rady, które było bezpośrednią przyczyną zamknięcia posiedzenia Rady z powodu braku quorum lub niezachowania parytetów, o których mowa w ust. 3, Członek Rady może zostać obciążony wynikłymi z tego powodu kosztami, w szczególności wynagrodzeniem wypłaconym pozostałym Członkom Rady w związku z koniecznością zwołania kolejnego posiedzenia w celu rozstrzygnięcia niezałatwionych spraw. O obciążeniu Członka Rady tymi kosztami rozstrzyga Zarząd.</w:t>
      </w:r>
    </w:p>
    <w:p w14:paraId="5564A4D0" w14:textId="77777777" w:rsidR="008B1C66" w:rsidRDefault="00F0363E">
      <w:pPr>
        <w:numPr>
          <w:ilvl w:val="0"/>
          <w:numId w:val="7"/>
        </w:numPr>
        <w:tabs>
          <w:tab w:val="clear" w:pos="720"/>
        </w:tabs>
        <w:spacing w:after="120" w:line="276" w:lineRule="auto"/>
        <w:ind w:left="426" w:hanging="426"/>
        <w:jc w:val="both"/>
        <w:rPr>
          <w:rFonts w:cs="Times New Roman"/>
        </w:rPr>
      </w:pPr>
      <w:r>
        <w:rPr>
          <w:rFonts w:cs="Times New Roman"/>
        </w:rPr>
        <w:t>Dla ważności posiedzenia i podejmowanych przez Radę uchwał (quorum) wymagana jest obecność co najmniej połowy Członków Rady, przy czym, w przypadku oceny przez Radę operacji, dla ważności uchwał wymagane jest dodatkowo zachowanie składu Rady i parytetów, o których mowa w § 3 ust. 10, tj. zapewnienie, by żadna grupa interesu nie dysponowała połową lub większą liczbą głosów w Radzie. Księga interesów aktualizowana jest przed każdym posiedzeniem Rady.</w:t>
      </w:r>
    </w:p>
    <w:p w14:paraId="5564A4D3" w14:textId="5D0B0281" w:rsidR="008B1C66" w:rsidRPr="0031077F" w:rsidRDefault="00F0363E" w:rsidP="0031077F">
      <w:pPr>
        <w:numPr>
          <w:ilvl w:val="0"/>
          <w:numId w:val="7"/>
        </w:numPr>
        <w:tabs>
          <w:tab w:val="clear" w:pos="720"/>
        </w:tabs>
        <w:spacing w:after="120" w:line="276" w:lineRule="auto"/>
        <w:ind w:left="426" w:hanging="426"/>
        <w:jc w:val="both"/>
        <w:rPr>
          <w:rFonts w:cs="Times New Roman"/>
        </w:rPr>
      </w:pPr>
      <w:r>
        <w:rPr>
          <w:rFonts w:cs="Times New Roman"/>
        </w:rPr>
        <w:lastRenderedPageBreak/>
        <w:t>Przewodniczący Rady stoi na straży zachowania quorum i parytetów, o których mowa w ust. 3, w trakcie każdego głosowania. W przypadku stwierdzenia, że brak jest quorum lub że naruszone zostały parytety w sposób uniemożliwiający podjęcie ważnej uchwały, Przewodniczący Rady zarządza przerwę w posiedzeniu do czasu przywrócenia quorum lub parytetów, albo zamyka posiedzenie Rady.</w:t>
      </w:r>
    </w:p>
    <w:p w14:paraId="5564A4D4" w14:textId="77777777" w:rsidR="008B1C66" w:rsidRDefault="00F0363E">
      <w:pPr>
        <w:spacing w:after="120" w:line="276" w:lineRule="auto"/>
        <w:jc w:val="center"/>
        <w:rPr>
          <w:rFonts w:cs="Times New Roman"/>
          <w:b/>
        </w:rPr>
      </w:pPr>
      <w:r>
        <w:rPr>
          <w:rFonts w:cs="Times New Roman"/>
          <w:b/>
        </w:rPr>
        <w:t>§ 14</w:t>
      </w:r>
    </w:p>
    <w:p w14:paraId="5564A4D5" w14:textId="77777777" w:rsidR="008B1C66" w:rsidRDefault="00F0363E">
      <w:pPr>
        <w:numPr>
          <w:ilvl w:val="0"/>
          <w:numId w:val="8"/>
        </w:numPr>
        <w:tabs>
          <w:tab w:val="clear" w:pos="720"/>
        </w:tabs>
        <w:spacing w:after="120" w:line="276" w:lineRule="auto"/>
        <w:ind w:left="426" w:hanging="426"/>
        <w:jc w:val="both"/>
        <w:rPr>
          <w:rFonts w:cs="Times New Roman"/>
        </w:rPr>
      </w:pPr>
      <w:r>
        <w:rPr>
          <w:rFonts w:cs="Times New Roman"/>
        </w:rPr>
        <w:t>Po otwarciu posiedzenia, Przewodnicz</w:t>
      </w:r>
      <w:r>
        <w:rPr>
          <w:rFonts w:eastAsia="Times New Roman" w:cs="Times New Roman"/>
        </w:rPr>
        <w:t>ą</w:t>
      </w:r>
      <w:r>
        <w:rPr>
          <w:rFonts w:cs="Times New Roman"/>
        </w:rPr>
        <w:t>cy Rady podaj</w:t>
      </w:r>
      <w:r>
        <w:rPr>
          <w:rFonts w:eastAsia="Times New Roman" w:cs="Times New Roman"/>
        </w:rPr>
        <w:t>e</w:t>
      </w:r>
      <w:r>
        <w:rPr>
          <w:rFonts w:cs="Times New Roman"/>
        </w:rPr>
        <w:t xml:space="preserve"> liczb</w:t>
      </w:r>
      <w:r>
        <w:rPr>
          <w:rFonts w:eastAsia="Times New Roman" w:cs="Times New Roman"/>
        </w:rPr>
        <w:t xml:space="preserve">ę </w:t>
      </w:r>
      <w:r>
        <w:rPr>
          <w:rFonts w:cs="Times New Roman"/>
        </w:rPr>
        <w:t>obecnych Członków Rady na podstawie podpisanej przez nich listy obecno</w:t>
      </w:r>
      <w:r>
        <w:rPr>
          <w:rFonts w:eastAsia="Times New Roman" w:cs="Times New Roman"/>
        </w:rPr>
        <w:t>ś</w:t>
      </w:r>
      <w:r>
        <w:rPr>
          <w:rFonts w:cs="Times New Roman"/>
        </w:rPr>
        <w:t>ci, ustala czy istnieje quorum oraz czy zachowane są parytety, o których mowa w § 13 ust. 3.</w:t>
      </w:r>
    </w:p>
    <w:p w14:paraId="5564A4D6" w14:textId="77777777" w:rsidR="008B1C66" w:rsidRDefault="00F0363E">
      <w:pPr>
        <w:numPr>
          <w:ilvl w:val="0"/>
          <w:numId w:val="8"/>
        </w:numPr>
        <w:tabs>
          <w:tab w:val="clear" w:pos="720"/>
        </w:tabs>
        <w:spacing w:after="120" w:line="276" w:lineRule="auto"/>
        <w:ind w:left="426" w:hanging="426"/>
        <w:jc w:val="both"/>
        <w:rPr>
          <w:rFonts w:cs="Times New Roman"/>
        </w:rPr>
      </w:pPr>
      <w:r>
        <w:rPr>
          <w:rFonts w:cs="Times New Roman"/>
        </w:rPr>
        <w:t>W razie braku quorum lub niezachowania parytetów, Przewodnicz</w:t>
      </w:r>
      <w:r>
        <w:rPr>
          <w:rFonts w:eastAsia="Times New Roman" w:cs="Times New Roman"/>
        </w:rPr>
        <w:t>ą</w:t>
      </w:r>
      <w:r>
        <w:rPr>
          <w:rFonts w:cs="Times New Roman"/>
        </w:rPr>
        <w:t>cy Rady zamyka obrady wyznaczaj</w:t>
      </w:r>
      <w:r>
        <w:rPr>
          <w:rFonts w:eastAsia="Times New Roman" w:cs="Times New Roman"/>
        </w:rPr>
        <w:t>ą</w:t>
      </w:r>
      <w:r>
        <w:rPr>
          <w:rFonts w:cs="Times New Roman"/>
        </w:rPr>
        <w:t>c równocze</w:t>
      </w:r>
      <w:r>
        <w:rPr>
          <w:rFonts w:eastAsia="Times New Roman" w:cs="Times New Roman"/>
        </w:rPr>
        <w:t>ś</w:t>
      </w:r>
      <w:r>
        <w:rPr>
          <w:rFonts w:cs="Times New Roman"/>
        </w:rPr>
        <w:t>nie nowy termin posiedzenia.</w:t>
      </w:r>
    </w:p>
    <w:p w14:paraId="5564A4D7" w14:textId="77777777" w:rsidR="008B1C66" w:rsidRDefault="00F0363E">
      <w:pPr>
        <w:numPr>
          <w:ilvl w:val="0"/>
          <w:numId w:val="8"/>
        </w:numPr>
        <w:tabs>
          <w:tab w:val="clear" w:pos="720"/>
        </w:tabs>
        <w:spacing w:after="120" w:line="276" w:lineRule="auto"/>
        <w:ind w:left="426" w:hanging="426"/>
        <w:jc w:val="both"/>
        <w:rPr>
          <w:rFonts w:cs="Times New Roman"/>
        </w:rPr>
      </w:pPr>
      <w:r>
        <w:rPr>
          <w:rFonts w:cs="Times New Roman"/>
        </w:rPr>
        <w:t>W protokole odnotowuje si</w:t>
      </w:r>
      <w:r>
        <w:rPr>
          <w:rFonts w:eastAsia="Times New Roman" w:cs="Times New Roman"/>
        </w:rPr>
        <w:t xml:space="preserve">ę </w:t>
      </w:r>
      <w:r>
        <w:rPr>
          <w:rFonts w:cs="Times New Roman"/>
        </w:rPr>
        <w:t>przyczyny, z powodu których posiedzenie si</w:t>
      </w:r>
      <w:r>
        <w:rPr>
          <w:rFonts w:eastAsia="Times New Roman" w:cs="Times New Roman"/>
        </w:rPr>
        <w:t>ę</w:t>
      </w:r>
      <w:r>
        <w:rPr>
          <w:rFonts w:cs="Times New Roman"/>
        </w:rPr>
        <w:t xml:space="preserve"> nie odbyło.</w:t>
      </w:r>
    </w:p>
    <w:p w14:paraId="5564A4D8" w14:textId="77777777" w:rsidR="008B1C66" w:rsidRDefault="008B1C66">
      <w:pPr>
        <w:spacing w:line="276" w:lineRule="auto"/>
        <w:rPr>
          <w:rFonts w:cs="Times New Roman"/>
        </w:rPr>
      </w:pPr>
    </w:p>
    <w:p w14:paraId="5564A4D9" w14:textId="77777777" w:rsidR="008B1C66" w:rsidRDefault="00F0363E">
      <w:pPr>
        <w:spacing w:after="120" w:line="276" w:lineRule="auto"/>
        <w:jc w:val="center"/>
        <w:rPr>
          <w:rFonts w:cs="Times New Roman"/>
          <w:b/>
        </w:rPr>
      </w:pPr>
      <w:r>
        <w:rPr>
          <w:rFonts w:cs="Times New Roman"/>
          <w:b/>
        </w:rPr>
        <w:t>§ 15</w:t>
      </w:r>
    </w:p>
    <w:p w14:paraId="5564A4DA"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Po stwierdzeniu quorum i parytetów, o których mowa w § 13 ust. 3, Przewodnicz</w:t>
      </w:r>
      <w:r>
        <w:rPr>
          <w:rFonts w:eastAsia="Times New Roman" w:cs="Times New Roman"/>
          <w:color w:val="000000"/>
        </w:rPr>
        <w:t>ą</w:t>
      </w:r>
      <w:r>
        <w:rPr>
          <w:rFonts w:cs="Times New Roman"/>
          <w:color w:val="000000"/>
        </w:rPr>
        <w:t>cy Rady przeprowadza wybór sekretarza posiedzenia, któremu powierza:</w:t>
      </w:r>
    </w:p>
    <w:p w14:paraId="5564A4DB" w14:textId="77777777" w:rsidR="008B1C66" w:rsidRDefault="00F0363E">
      <w:pPr>
        <w:numPr>
          <w:ilvl w:val="0"/>
          <w:numId w:val="29"/>
        </w:numPr>
        <w:spacing w:after="120" w:line="276" w:lineRule="auto"/>
        <w:ind w:left="851" w:hanging="425"/>
        <w:jc w:val="both"/>
        <w:rPr>
          <w:rFonts w:cs="Times New Roman"/>
          <w:color w:val="000000"/>
        </w:rPr>
      </w:pPr>
      <w:r>
        <w:rPr>
          <w:rFonts w:cs="Times New Roman"/>
          <w:color w:val="000000"/>
        </w:rPr>
        <w:t>obliczenie wyników głosowa</w:t>
      </w:r>
      <w:r>
        <w:rPr>
          <w:rFonts w:eastAsia="Times New Roman" w:cs="Times New Roman"/>
          <w:color w:val="000000"/>
        </w:rPr>
        <w:t>ń</w:t>
      </w:r>
      <w:r>
        <w:rPr>
          <w:rFonts w:cs="Times New Roman"/>
          <w:color w:val="000000"/>
        </w:rPr>
        <w:t xml:space="preserve">; </w:t>
      </w:r>
    </w:p>
    <w:p w14:paraId="5564A4DC" w14:textId="77777777" w:rsidR="008B1C66" w:rsidRDefault="00F0363E">
      <w:pPr>
        <w:numPr>
          <w:ilvl w:val="0"/>
          <w:numId w:val="29"/>
        </w:numPr>
        <w:spacing w:after="120" w:line="276" w:lineRule="auto"/>
        <w:ind w:left="851" w:hanging="425"/>
        <w:jc w:val="both"/>
        <w:rPr>
          <w:rFonts w:cs="Times New Roman"/>
          <w:color w:val="000000"/>
        </w:rPr>
      </w:pPr>
      <w:r>
        <w:rPr>
          <w:rFonts w:cs="Times New Roman"/>
          <w:color w:val="000000"/>
        </w:rPr>
        <w:t>wsparcie Przewodniczącemu Rady w sprawowaniu kontro</w:t>
      </w:r>
      <w:r>
        <w:rPr>
          <w:rFonts w:eastAsia="Times New Roman" w:cs="Times New Roman"/>
          <w:color w:val="000000"/>
        </w:rPr>
        <w:t xml:space="preserve">li nad zachowaniem </w:t>
      </w:r>
      <w:r>
        <w:rPr>
          <w:rFonts w:cs="Times New Roman"/>
          <w:color w:val="000000"/>
        </w:rPr>
        <w:t xml:space="preserve">quorum i parytetów, o których mowa w § 13 ust. 3; </w:t>
      </w:r>
    </w:p>
    <w:p w14:paraId="5564A4DD" w14:textId="77777777" w:rsidR="008B1C66" w:rsidRDefault="00F0363E">
      <w:pPr>
        <w:numPr>
          <w:ilvl w:val="0"/>
          <w:numId w:val="29"/>
        </w:numPr>
        <w:spacing w:after="120" w:line="276" w:lineRule="auto"/>
        <w:ind w:left="851" w:hanging="425"/>
        <w:jc w:val="both"/>
        <w:rPr>
          <w:rFonts w:cs="Times New Roman"/>
          <w:color w:val="000000"/>
        </w:rPr>
      </w:pPr>
      <w:r>
        <w:rPr>
          <w:rFonts w:cs="Times New Roman"/>
          <w:color w:val="000000"/>
        </w:rPr>
        <w:t>sporządzanie protokołu z posiedzenia Rady;</w:t>
      </w:r>
    </w:p>
    <w:p w14:paraId="5564A4DE" w14:textId="77777777" w:rsidR="008B1C66" w:rsidRDefault="00F0363E">
      <w:pPr>
        <w:numPr>
          <w:ilvl w:val="0"/>
          <w:numId w:val="29"/>
        </w:numPr>
        <w:spacing w:after="120" w:line="276" w:lineRule="auto"/>
        <w:ind w:left="851" w:hanging="425"/>
        <w:jc w:val="both"/>
        <w:rPr>
          <w:rFonts w:cs="Times New Roman"/>
          <w:color w:val="000000"/>
        </w:rPr>
      </w:pPr>
      <w:r>
        <w:rPr>
          <w:rFonts w:cs="Times New Roman"/>
          <w:color w:val="000000"/>
        </w:rPr>
        <w:t>czuwanie nad przestrzeganiem pozostałych formalnych aspektów związanych z przebiegiem posiedzenia Rady.</w:t>
      </w:r>
    </w:p>
    <w:p w14:paraId="5564A4DF" w14:textId="77777777" w:rsidR="008B1C66" w:rsidRDefault="00F0363E">
      <w:pPr>
        <w:numPr>
          <w:ilvl w:val="0"/>
          <w:numId w:val="9"/>
        </w:numPr>
        <w:tabs>
          <w:tab w:val="clear" w:pos="720"/>
        </w:tabs>
        <w:spacing w:after="120" w:line="276" w:lineRule="auto"/>
        <w:ind w:left="426" w:hanging="426"/>
        <w:jc w:val="both"/>
        <w:rPr>
          <w:rFonts w:cs="Times New Roman"/>
        </w:rPr>
      </w:pPr>
      <w:r>
        <w:rPr>
          <w:rFonts w:cs="Times New Roman"/>
        </w:rPr>
        <w:t>Po wyborze sekretarza posiedzenia Przewodniczący Rady przedstawia porządek posiedzenia, zgodnie z ogłoszeniem, o którym mowa w § 10 ust. 2 pkt 2, a następnie zwraca się do Członków Rady z pytaniem dotyczącym konieczności zmiany lub uzupełnienia porządku posiedzenia o dodatkowe punkty.</w:t>
      </w:r>
    </w:p>
    <w:p w14:paraId="5564A4E0" w14:textId="77777777" w:rsidR="008B1C66" w:rsidRDefault="00F0363E">
      <w:pPr>
        <w:numPr>
          <w:ilvl w:val="0"/>
          <w:numId w:val="9"/>
        </w:numPr>
        <w:tabs>
          <w:tab w:val="clear" w:pos="720"/>
        </w:tabs>
        <w:spacing w:after="120" w:line="276" w:lineRule="auto"/>
        <w:ind w:left="426" w:hanging="426"/>
        <w:jc w:val="both"/>
        <w:rPr>
          <w:rFonts w:cs="Times New Roman"/>
        </w:rPr>
      </w:pPr>
      <w:r>
        <w:rPr>
          <w:rFonts w:cs="Times New Roman"/>
        </w:rPr>
        <w:t>W przypadku zgłoszenia wniosku o zmianę lub uzupełnienie porządku posiedzenia o dodatkowe punkty Przewodniczący Rady zarządza głosowanie nad zaproponowanymi zmianami. W przypadku braku wniosków lub niepodjęcia uchwały w sprawie zmiany lub uzupełnienia porządku posiedzenia, posiedzenie prowadzone jest zgodnie z porządkiem podanym w ogłoszeniu, o którym mowa w § 10 ust. 2 pkt 2.</w:t>
      </w:r>
    </w:p>
    <w:p w14:paraId="5564A4E1" w14:textId="77777777" w:rsidR="008B1C66" w:rsidRDefault="00F0363E">
      <w:pPr>
        <w:numPr>
          <w:ilvl w:val="0"/>
          <w:numId w:val="9"/>
        </w:numPr>
        <w:tabs>
          <w:tab w:val="clear" w:pos="720"/>
        </w:tabs>
        <w:spacing w:after="120" w:line="276" w:lineRule="auto"/>
        <w:ind w:left="426" w:hanging="426"/>
        <w:jc w:val="both"/>
        <w:rPr>
          <w:rFonts w:cs="Times New Roman"/>
        </w:rPr>
      </w:pPr>
      <w:r>
        <w:rPr>
          <w:rFonts w:cs="Times New Roman"/>
        </w:rPr>
        <w:t>Porządek obrad obejmuje w szczególności (w zależności od celu, w jakim zostało zwołane posiedzenie):</w:t>
      </w:r>
    </w:p>
    <w:p w14:paraId="5564A4E2" w14:textId="77777777" w:rsidR="008B1C66" w:rsidRDefault="00F0363E">
      <w:pPr>
        <w:numPr>
          <w:ilvl w:val="2"/>
          <w:numId w:val="15"/>
        </w:numPr>
        <w:spacing w:after="120" w:line="276" w:lineRule="auto"/>
        <w:ind w:left="851" w:hanging="425"/>
        <w:jc w:val="both"/>
        <w:rPr>
          <w:rFonts w:cs="Times New Roman"/>
        </w:rPr>
      </w:pPr>
      <w:r>
        <w:rPr>
          <w:rFonts w:cs="Times New Roman"/>
        </w:rPr>
        <w:t>omówienie wniosków, które zostały zło</w:t>
      </w:r>
      <w:r>
        <w:rPr>
          <w:rFonts w:eastAsia="Times New Roman" w:cs="Times New Roman"/>
        </w:rPr>
        <w:t>ż</w:t>
      </w:r>
      <w:r>
        <w:rPr>
          <w:rFonts w:cs="Times New Roman"/>
        </w:rPr>
        <w:t>one w ramach naboru prowadzonego przez LGD w miejscu i terminie wskazanym w ogłoszeniu o naborze wniosków;</w:t>
      </w:r>
    </w:p>
    <w:p w14:paraId="5564A4E3" w14:textId="77777777" w:rsidR="008B1C66" w:rsidRDefault="00F0363E">
      <w:pPr>
        <w:numPr>
          <w:ilvl w:val="2"/>
          <w:numId w:val="15"/>
        </w:numPr>
        <w:spacing w:after="120" w:line="276" w:lineRule="auto"/>
        <w:ind w:left="851" w:hanging="425"/>
        <w:jc w:val="both"/>
        <w:rPr>
          <w:rFonts w:cs="Times New Roman"/>
        </w:rPr>
      </w:pPr>
      <w:r>
        <w:rPr>
          <w:rFonts w:cs="Times New Roman"/>
        </w:rPr>
        <w:t>przedstawienie przez pracownika Biura informacji na temat, wniosków, które wpłynęły do LGD, ale nie zostały złożone w miejscu, terminie i formie wskazanych w ogłoszeniu o naborze wniosków (np. nie zostały złożone za pomocą systemu IT) i ewentualną dyskusję na ten temat;</w:t>
      </w:r>
    </w:p>
    <w:p w14:paraId="5564A4E4" w14:textId="77777777" w:rsidR="008B1C66" w:rsidRDefault="00F0363E">
      <w:pPr>
        <w:numPr>
          <w:ilvl w:val="2"/>
          <w:numId w:val="15"/>
        </w:numPr>
        <w:spacing w:after="120" w:line="276" w:lineRule="auto"/>
        <w:ind w:left="851" w:hanging="425"/>
        <w:jc w:val="both"/>
        <w:rPr>
          <w:rFonts w:cs="Times New Roman"/>
        </w:rPr>
      </w:pPr>
      <w:r>
        <w:rPr>
          <w:rFonts w:cs="Times New Roman"/>
        </w:rPr>
        <w:lastRenderedPageBreak/>
        <w:t xml:space="preserve">ocenę operacji i podjęcie uchwał w przedmiocie wyboru operacji i ustalenia kwoty wsparcia dla operacji objętych wnioskami, które zostały złożone w ramach naboru, będących wynikiem oceny merytorycznej i formalnej, o której mowa w </w:t>
      </w:r>
      <w:r>
        <w:rPr>
          <w:rFonts w:cs="Times New Roman"/>
          <w:color w:val="000000"/>
        </w:rPr>
        <w:t>cz. VII.4.1. Wytycznych podstawowych, lub ocena wniosków o powierzenie grantu i podjęcie uchwał w przedmiocie powierzenia grantów;</w:t>
      </w:r>
    </w:p>
    <w:p w14:paraId="5564A4E5" w14:textId="77777777" w:rsidR="008B1C66" w:rsidRDefault="00F0363E">
      <w:pPr>
        <w:numPr>
          <w:ilvl w:val="2"/>
          <w:numId w:val="15"/>
        </w:numPr>
        <w:spacing w:after="120" w:line="276" w:lineRule="auto"/>
        <w:ind w:left="851" w:hanging="425"/>
        <w:jc w:val="both"/>
        <w:rPr>
          <w:rFonts w:cs="Times New Roman"/>
        </w:rPr>
      </w:pPr>
      <w:r>
        <w:rPr>
          <w:rFonts w:cs="Times New Roman"/>
        </w:rPr>
        <w:t>przedstawienie przez Zarz</w:t>
      </w:r>
      <w:r>
        <w:rPr>
          <w:rFonts w:eastAsia="Times New Roman" w:cs="Times New Roman"/>
        </w:rPr>
        <w:t>ą</w:t>
      </w:r>
      <w:r>
        <w:rPr>
          <w:rFonts w:cs="Times New Roman"/>
        </w:rPr>
        <w:t>d informacji o przyznaniu pomocy przez Zarząd Województwa na operacje, których ocena była przedmiotem wcze</w:t>
      </w:r>
      <w:r>
        <w:rPr>
          <w:rFonts w:eastAsia="Times New Roman" w:cs="Times New Roman"/>
        </w:rPr>
        <w:t>ś</w:t>
      </w:r>
      <w:r>
        <w:rPr>
          <w:rFonts w:cs="Times New Roman"/>
        </w:rPr>
        <w:t>niejszych posiedze</w:t>
      </w:r>
      <w:r>
        <w:rPr>
          <w:rFonts w:eastAsia="Times New Roman" w:cs="Times New Roman"/>
        </w:rPr>
        <w:t xml:space="preserve">ń </w:t>
      </w:r>
      <w:r>
        <w:rPr>
          <w:rFonts w:cs="Times New Roman"/>
        </w:rPr>
        <w:t>Rady, oraz realizacji projektów grantowych;</w:t>
      </w:r>
    </w:p>
    <w:p w14:paraId="5564A4E6" w14:textId="77777777" w:rsidR="008B1C66" w:rsidRDefault="00F0363E">
      <w:pPr>
        <w:numPr>
          <w:ilvl w:val="2"/>
          <w:numId w:val="15"/>
        </w:numPr>
        <w:spacing w:after="120" w:line="276" w:lineRule="auto"/>
        <w:ind w:left="851" w:hanging="425"/>
        <w:jc w:val="both"/>
        <w:rPr>
          <w:rFonts w:cs="Times New Roman"/>
        </w:rPr>
      </w:pPr>
      <w:r>
        <w:rPr>
          <w:rFonts w:cs="Times New Roman"/>
        </w:rPr>
        <w:t>przedstawienie przez Przewodniczącego Rady informacji, o których mowa w § 8 ust. 4, lub dokonanie przez Radę oceny proponowanych przez beneficjenta zmian operacji realizowanych w ramach LSR,</w:t>
      </w:r>
    </w:p>
    <w:p w14:paraId="5564A4E7" w14:textId="77777777" w:rsidR="008B1C66" w:rsidRDefault="00F0363E">
      <w:pPr>
        <w:numPr>
          <w:ilvl w:val="2"/>
          <w:numId w:val="15"/>
        </w:numPr>
        <w:spacing w:after="120" w:line="276" w:lineRule="auto"/>
        <w:ind w:left="851" w:hanging="425"/>
        <w:jc w:val="both"/>
        <w:rPr>
          <w:rFonts w:cs="Times New Roman"/>
        </w:rPr>
      </w:pPr>
      <w:r>
        <w:rPr>
          <w:rFonts w:cs="Times New Roman"/>
        </w:rPr>
        <w:t>wolne głosy, wnioski i zapytania.</w:t>
      </w:r>
    </w:p>
    <w:p w14:paraId="5564A4E8"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Przed rozpoczęciem omawiania wniosków i przed oceną operacji lub wniosków o powierzenie grantu Przewodniczący Rady:</w:t>
      </w:r>
    </w:p>
    <w:p w14:paraId="5564A4E9" w14:textId="77777777" w:rsidR="008B1C66" w:rsidRDefault="00F0363E">
      <w:pPr>
        <w:numPr>
          <w:ilvl w:val="0"/>
          <w:numId w:val="21"/>
        </w:numPr>
        <w:spacing w:after="120" w:line="276" w:lineRule="auto"/>
        <w:ind w:left="851" w:hanging="425"/>
        <w:jc w:val="both"/>
        <w:rPr>
          <w:rFonts w:cs="Times New Roman"/>
          <w:color w:val="000000"/>
        </w:rPr>
      </w:pPr>
      <w:r>
        <w:rPr>
          <w:rFonts w:cs="Times New Roman"/>
          <w:color w:val="000000"/>
        </w:rPr>
        <w:t>wskazuje, którzy Członkowie Rady podlegają wyłączeniu z omawiania wskazanych przez Przewodniczącego Rady wniosków oraz z dokonywania oceny operacji lub wniosków o powierzenie grantu, a także z głosowania w przedmiocie uchwał, o których mowa w ust. 4 pkt 3, ze względu na istnienie konfliktu interesów, który został ustalony na podstawie informacji zawartych w Rejestrze Interesów lub w deklaracjach bezstronności,</w:t>
      </w:r>
    </w:p>
    <w:p w14:paraId="5564A4EA" w14:textId="77777777" w:rsidR="008B1C66" w:rsidRDefault="00F0363E">
      <w:pPr>
        <w:numPr>
          <w:ilvl w:val="0"/>
          <w:numId w:val="21"/>
        </w:numPr>
        <w:spacing w:after="120" w:line="276" w:lineRule="auto"/>
        <w:ind w:left="851" w:hanging="425"/>
        <w:jc w:val="both"/>
        <w:rPr>
          <w:rFonts w:cs="Times New Roman"/>
          <w:color w:val="000000"/>
        </w:rPr>
      </w:pPr>
      <w:r>
        <w:rPr>
          <w:rFonts w:cs="Times New Roman"/>
          <w:color w:val="000000"/>
        </w:rPr>
        <w:t xml:space="preserve">zwraca się do wszystkich obecnych na posiedzeniu z pytaniem dotyczącym posiadania przez nich wiedzy co do występowania okoliczności, które mogą budzić uzasadnione wątpliwości co do bezstronności któregokolwiek z nich w trakcie procesów omawiania wniosków i oceny operacji lub wniosków o powierzenie grantu oraz podejmowania uchwał, o których </w:t>
      </w:r>
      <w:r>
        <w:rPr>
          <w:rFonts w:cs="Times New Roman"/>
        </w:rPr>
        <w:t>mowa w ust. 4 pkt 1 i 3.</w:t>
      </w:r>
    </w:p>
    <w:p w14:paraId="5564A4EB"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 xml:space="preserve">Za przesłanki, które mogą budzić uzasadnione wątpliwości co do bezstronności danego Członka </w:t>
      </w:r>
      <w:r>
        <w:rPr>
          <w:rFonts w:cs="Times New Roman"/>
        </w:rPr>
        <w:t>Rady w trakcie procesu omawiania wniosków i oceny operacji, o których mowa w ust. 4 pkt 1 i 3, uznaje się</w:t>
      </w:r>
      <w:r>
        <w:rPr>
          <w:rFonts w:cs="Times New Roman"/>
          <w:color w:val="000000"/>
        </w:rPr>
        <w:t xml:space="preserve"> w szczególności, sytuacje, w których Członek Rady:</w:t>
      </w:r>
    </w:p>
    <w:p w14:paraId="5564A4EC"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jest wnioskodawcą, który złożył wniosek będący przedmiotem oceny przez Radę;</w:t>
      </w:r>
    </w:p>
    <w:p w14:paraId="5564A4ED"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jest małżonkiem wnioskodawcy lub krewnym w linii prostej wnioskodawcy lub krewnym w linii bocznej do drugiego stopnia włącznie wnioskodawcy lub powinowatych w linii prostej wnioskodawcy lub powinowatym w linii bocznej do drugiego stopnia włącznie wnioskodawcy;</w:t>
      </w:r>
    </w:p>
    <w:p w14:paraId="5564A4EE"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pozostaje w stałym pożyciu z wnioskodawcą lub jest związany z wnioskodawcą z tytułu przysposobienia, opieki lub kurateli;</w:t>
      </w:r>
    </w:p>
    <w:p w14:paraId="5564A4EF" w14:textId="77777777" w:rsidR="008B1C66" w:rsidRDefault="00F0363E">
      <w:pPr>
        <w:numPr>
          <w:ilvl w:val="0"/>
          <w:numId w:val="28"/>
        </w:numPr>
        <w:spacing w:after="120" w:line="276" w:lineRule="auto"/>
        <w:ind w:left="851" w:hanging="425"/>
        <w:jc w:val="both"/>
        <w:rPr>
          <w:rFonts w:cs="Times New Roman"/>
        </w:rPr>
      </w:pPr>
      <w:r>
        <w:rPr>
          <w:rFonts w:cs="Times New Roman"/>
        </w:rPr>
        <w:t>pozostaje z osobą, która jest członkiem organu wnioskodawcy, w relacji określonej w pkt 2 lub 3;</w:t>
      </w:r>
    </w:p>
    <w:p w14:paraId="5564A4F0"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prowadzi lub w ostatnich 3 latach prowadził przeciwko wnioskodawcy spór sądowy (cywilny, karny, administracyjny), niezależnie od jego charakteru i przebiegu;</w:t>
      </w:r>
    </w:p>
    <w:p w14:paraId="5564A4F1"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 xml:space="preserve">w ciągu ostatnich 12 miesięcy dokonał czynności prawnej z wnioskodawcą, której następstwem było dokonanie albo zobowiązanie do dokonania świadczenia, którego wartość </w:t>
      </w:r>
      <w:r>
        <w:rPr>
          <w:rFonts w:cs="Times New Roman"/>
          <w:color w:val="000000"/>
        </w:rPr>
        <w:lastRenderedPageBreak/>
        <w:t>przewyższała 100.000 zł;</w:t>
      </w:r>
    </w:p>
    <w:p w14:paraId="5564A4F2"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pozostaje lub w ostatnich 3 latach pozostawał z wnioskodawcą w stosunku pracy lub łączy albo w ostatnich 3 latach łączyła go z wnioskodawcą inna umowa o podobnym charakterze (np. umowa zlecenia, umowa o dzieło), na podstawie której świadczone są lub były przez okres co najmniej 1 miesiąca usługi, za które jedna ze stron otrzymuje lub otrzymywała wynagrodzenie;</w:t>
      </w:r>
    </w:p>
    <w:p w14:paraId="5564A4F3"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pozostaje albo w ostatnich 3 latach pozostawał w stosunku podległości lub nadrzędności służbowej z wnioskodawcą lub członkiem jego organu wykonawczego;</w:t>
      </w:r>
    </w:p>
    <w:p w14:paraId="5564A4F4"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jest członkiem, akcjonariuszem lub udziałowcem wnioskodawcy, lub jest członkiem organu wnioskodawcy, lub inny sposób jest zaangażowany finansowo w funkcjonowanie wnioskodawcy (podmiot powiązany kapitałowo);</w:t>
      </w:r>
    </w:p>
    <w:p w14:paraId="5564A4F5" w14:textId="77777777" w:rsidR="008B1C66" w:rsidRDefault="00F0363E">
      <w:pPr>
        <w:numPr>
          <w:ilvl w:val="0"/>
          <w:numId w:val="28"/>
        </w:numPr>
        <w:spacing w:after="120" w:line="276" w:lineRule="auto"/>
        <w:ind w:left="851" w:hanging="425"/>
        <w:jc w:val="both"/>
        <w:rPr>
          <w:rFonts w:cs="Times New Roman"/>
          <w:color w:val="000000"/>
        </w:rPr>
      </w:pPr>
      <w:r>
        <w:rPr>
          <w:rFonts w:cs="Times New Roman"/>
          <w:color w:val="000000"/>
        </w:rPr>
        <w:t>brał udział w przygotowaniu wniosku, który podlegać ma ocenie lub udzielał wnioskodawcy wskazówek lub porad dotyczących przygotowania wniosku</w:t>
      </w:r>
    </w:p>
    <w:p w14:paraId="5564A4F6" w14:textId="77777777" w:rsidR="008B1C66" w:rsidRDefault="00F0363E">
      <w:pPr>
        <w:spacing w:after="120" w:line="276" w:lineRule="auto"/>
        <w:ind w:left="426"/>
        <w:jc w:val="both"/>
        <w:rPr>
          <w:rFonts w:cs="Times New Roman"/>
          <w:color w:val="000000"/>
        </w:rPr>
      </w:pPr>
      <w:r>
        <w:rPr>
          <w:rFonts w:cs="Times New Roman"/>
          <w:color w:val="000000"/>
        </w:rPr>
        <w:t>– przy czym wydane przez Ministra Rolnictwa i Rozwoju Wsi wytyczne w trybie art. 6 ust. 2 pkt 3 ustawy o PS WPR mogą określać także inne przesłanki obligatoryjnego wyłączenia Członka Rady.</w:t>
      </w:r>
    </w:p>
    <w:p w14:paraId="1E52EAEE" w14:textId="75F71C95" w:rsidR="00D1065A" w:rsidRPr="0031077F" w:rsidRDefault="00D1065A" w:rsidP="0031077F">
      <w:pPr>
        <w:pStyle w:val="Akapitzlist"/>
        <w:widowControl/>
        <w:numPr>
          <w:ilvl w:val="0"/>
          <w:numId w:val="9"/>
        </w:numPr>
        <w:tabs>
          <w:tab w:val="clear" w:pos="720"/>
          <w:tab w:val="num" w:pos="426"/>
        </w:tabs>
        <w:suppressAutoHyphens w:val="0"/>
        <w:spacing w:after="120"/>
        <w:ind w:left="426" w:hanging="426"/>
        <w:jc w:val="both"/>
        <w:rPr>
          <w:color w:val="FF0000"/>
        </w:rPr>
      </w:pPr>
      <w:r w:rsidRPr="0031077F">
        <w:rPr>
          <w:color w:val="FF0000"/>
        </w:rPr>
        <w:t xml:space="preserve">Członek Rady, który znajduje się w sytuacji konfliktu interesów w rozumieniu art. 61 ust. 3 rozporządzenia Parlamentu Europejskiego i Rady (UE, </w:t>
      </w:r>
      <w:proofErr w:type="spellStart"/>
      <w:r w:rsidRPr="0031077F">
        <w:rPr>
          <w:color w:val="FF0000"/>
        </w:rPr>
        <w:t>Euratom</w:t>
      </w:r>
      <w:proofErr w:type="spellEnd"/>
      <w:r w:rsidRPr="0031077F">
        <w:rPr>
          <w:color w:val="FF0000"/>
        </w:rPr>
        <w:t>) 2024/2509, nie realizuje zadań LGD w zakresie, w jakim dotyczy go ten konflikt.</w:t>
      </w:r>
    </w:p>
    <w:p w14:paraId="5564A4F7"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Członek Rady wskazany z ust. 5 pkt 1 przez Przewodniczącego Rady zgodnie podlega wyłączeniu z omawiania wskazanych przez Przewodniczącego Rady wniosków oraz z dokonywania oceny operacji lub wniosków o powierzenie grantu, a także z głosowania w przedmiocie uchwał, o których mowa w ust. 4 pkt 3, co do których istnieją okoliczności mogące budzić wątpliwości co do bezstronności tego Członka Rady. W przypadku wyłączenia Członek Rady opuszcza salę na czas omawiania, oceny i podejmowania uchwał dotyczących operacji i wniosków, co do których podlega wyłączeniu.</w:t>
      </w:r>
    </w:p>
    <w:p w14:paraId="5564A4F8"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W przypadku, gdy wątpliwości dotyczące bezstronności Członka Rady zostały ujawnione w inny sposób niż na podstawie dokonania przez Przewodniczącego Rady analizy Rejestru Interesów lub deklaracji bezstronności, w szczególności w wyniku zgłoszenia w odpowiedzi na pytanie Przewodniczącego Rady, o którym mowa w ust. 5 pkt 2, okoliczności, które mogą budzić uzasadnione wątpliwości co do bezstronności, o wyłączeniu Członka Rady rozstrzyga uchwała Rady.</w:t>
      </w:r>
    </w:p>
    <w:p w14:paraId="5564A4F9"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W przypadku osoby prawnej będącej członkiem Stowarzyszenia, obowiązek wyłączenia z procesu omawiania i oceny wniosków występuje zarówno w sytuacji, gdy okoliczności określone w ust. 6 dotyczą tej osoby prawnej, jak również w sytuacji, gdy dotyczą one osoby fizycznej działającej w Radzie w imieniu członka Stowarzyszenia będącego osobą prawną.</w:t>
      </w:r>
    </w:p>
    <w:p w14:paraId="5564A4FA" w14:textId="77777777" w:rsidR="008B1C66" w:rsidRDefault="00F0363E">
      <w:pPr>
        <w:numPr>
          <w:ilvl w:val="0"/>
          <w:numId w:val="9"/>
        </w:numPr>
        <w:tabs>
          <w:tab w:val="clear" w:pos="720"/>
        </w:tabs>
        <w:spacing w:after="120" w:line="276" w:lineRule="auto"/>
        <w:ind w:left="426" w:hanging="426"/>
        <w:jc w:val="both"/>
        <w:rPr>
          <w:rFonts w:cs="Times New Roman"/>
          <w:color w:val="000000"/>
        </w:rPr>
      </w:pPr>
      <w:r>
        <w:rPr>
          <w:rFonts w:cs="Times New Roman"/>
          <w:color w:val="000000"/>
        </w:rPr>
        <w:t>Okoliczności wskazane w ust. 6 nie stanowią przesłanki wyłączenia w przypadku oceny operacji własnej LGD, o której mowa w art. 17 ust. 3 pkt 2 ustawy o RLKS, której dotyczy wniosek złożony przez Zarząd w ramach naboru. W takiej sytuacji wyłączenie Członka Rady następuje wyłącznie w sytuacji, gdy:</w:t>
      </w:r>
    </w:p>
    <w:p w14:paraId="5564A4FB" w14:textId="77777777" w:rsidR="008B1C66" w:rsidRDefault="00F0363E">
      <w:pPr>
        <w:pStyle w:val="Akapitzlist"/>
        <w:numPr>
          <w:ilvl w:val="0"/>
          <w:numId w:val="46"/>
        </w:numPr>
        <w:spacing w:after="120" w:line="276" w:lineRule="auto"/>
        <w:ind w:left="851" w:hanging="426"/>
        <w:jc w:val="both"/>
        <w:rPr>
          <w:rFonts w:cs="Times New Roman"/>
          <w:color w:val="000000"/>
        </w:rPr>
      </w:pPr>
      <w:r>
        <w:rPr>
          <w:rFonts w:cs="Times New Roman"/>
          <w:color w:val="000000"/>
        </w:rPr>
        <w:t>uczestniczył on w procesie przygotowania wniosku na realizację operacji własnej LGD;</w:t>
      </w:r>
    </w:p>
    <w:p w14:paraId="33F690B2" w14:textId="3D1E506D" w:rsidR="00005D17" w:rsidRPr="0031077F" w:rsidRDefault="00F0363E" w:rsidP="0031077F">
      <w:pPr>
        <w:pStyle w:val="Akapitzlist"/>
        <w:numPr>
          <w:ilvl w:val="0"/>
          <w:numId w:val="46"/>
        </w:numPr>
        <w:spacing w:after="120" w:line="276" w:lineRule="auto"/>
        <w:ind w:left="851" w:hanging="426"/>
        <w:jc w:val="both"/>
        <w:rPr>
          <w:rFonts w:cs="Times New Roman"/>
          <w:color w:val="000000"/>
        </w:rPr>
      </w:pPr>
      <w:r>
        <w:rPr>
          <w:rFonts w:cs="Times New Roman"/>
          <w:color w:val="000000"/>
        </w:rPr>
        <w:t>pozostaje z którymkolwiek z członków Zarządu w stosunku, o którym mowa w ust. 6 </w:t>
      </w:r>
      <w:r>
        <w:rPr>
          <w:rFonts w:cs="Times New Roman"/>
          <w:szCs w:val="24"/>
        </w:rPr>
        <w:t>pkt</w:t>
      </w:r>
      <w:r>
        <w:rPr>
          <w:rFonts w:cs="Times New Roman"/>
          <w:szCs w:val="24"/>
        </w:rPr>
        <w:br/>
      </w:r>
      <w:r>
        <w:rPr>
          <w:rFonts w:cs="Times New Roman"/>
          <w:color w:val="000000"/>
        </w:rPr>
        <w:lastRenderedPageBreak/>
        <w:t>2-3.</w:t>
      </w:r>
    </w:p>
    <w:p w14:paraId="1827C87E" w14:textId="77777777" w:rsidR="00005D17" w:rsidRDefault="00005D17">
      <w:pPr>
        <w:spacing w:line="276" w:lineRule="auto"/>
        <w:rPr>
          <w:rFonts w:cs="Times New Roman"/>
        </w:rPr>
      </w:pPr>
    </w:p>
    <w:p w14:paraId="5564A4FE" w14:textId="77777777" w:rsidR="008B1C66" w:rsidRDefault="00F0363E">
      <w:pPr>
        <w:spacing w:after="120" w:line="276" w:lineRule="auto"/>
        <w:jc w:val="center"/>
        <w:rPr>
          <w:rFonts w:cs="Times New Roman"/>
          <w:b/>
        </w:rPr>
      </w:pPr>
      <w:r>
        <w:rPr>
          <w:rFonts w:cs="Times New Roman"/>
          <w:b/>
        </w:rPr>
        <w:t>§ 16</w:t>
      </w:r>
    </w:p>
    <w:p w14:paraId="5564A4FF" w14:textId="77777777" w:rsidR="008B1C66" w:rsidRDefault="00F0363E">
      <w:pPr>
        <w:numPr>
          <w:ilvl w:val="0"/>
          <w:numId w:val="16"/>
        </w:numPr>
        <w:tabs>
          <w:tab w:val="clear" w:pos="720"/>
        </w:tabs>
        <w:spacing w:after="120" w:line="276" w:lineRule="auto"/>
        <w:ind w:left="426" w:hanging="426"/>
        <w:jc w:val="both"/>
        <w:rPr>
          <w:rFonts w:cs="Times New Roman"/>
        </w:rPr>
      </w:pPr>
      <w:r>
        <w:rPr>
          <w:rFonts w:cs="Times New Roman"/>
        </w:rPr>
        <w:t>Przewodnicz</w:t>
      </w:r>
      <w:r>
        <w:rPr>
          <w:rFonts w:eastAsia="Times New Roman" w:cs="Times New Roman"/>
        </w:rPr>
        <w:t>ą</w:t>
      </w:r>
      <w:r>
        <w:rPr>
          <w:rFonts w:cs="Times New Roman"/>
        </w:rPr>
        <w:t>cy Rady czuwa nad sprawnym przebiegiem porz</w:t>
      </w:r>
      <w:r>
        <w:rPr>
          <w:rFonts w:eastAsia="Times New Roman" w:cs="Times New Roman"/>
        </w:rPr>
        <w:t>ą</w:t>
      </w:r>
      <w:r>
        <w:rPr>
          <w:rFonts w:cs="Times New Roman"/>
        </w:rPr>
        <w:t>dku posiedzenia, otwiera i zamyka dyskusj</w:t>
      </w:r>
      <w:r>
        <w:rPr>
          <w:rFonts w:eastAsia="Times New Roman" w:cs="Times New Roman"/>
        </w:rPr>
        <w:t xml:space="preserve">ę </w:t>
      </w:r>
      <w:r>
        <w:rPr>
          <w:rFonts w:cs="Times New Roman"/>
        </w:rPr>
        <w:t>oraz udziela głosu jej uczestnikom.</w:t>
      </w:r>
    </w:p>
    <w:p w14:paraId="5564A500" w14:textId="77777777" w:rsidR="008B1C66" w:rsidRDefault="00F0363E">
      <w:pPr>
        <w:numPr>
          <w:ilvl w:val="0"/>
          <w:numId w:val="16"/>
        </w:numPr>
        <w:tabs>
          <w:tab w:val="clear" w:pos="720"/>
        </w:tabs>
        <w:spacing w:after="120" w:line="276" w:lineRule="auto"/>
        <w:ind w:left="426" w:hanging="426"/>
        <w:jc w:val="both"/>
        <w:rPr>
          <w:rFonts w:cs="Times New Roman"/>
        </w:rPr>
      </w:pPr>
      <w:r>
        <w:rPr>
          <w:rFonts w:cs="Times New Roman"/>
        </w:rPr>
        <w:t>Przedmiotem wyst</w:t>
      </w:r>
      <w:r>
        <w:rPr>
          <w:rFonts w:eastAsia="Times New Roman" w:cs="Times New Roman"/>
        </w:rPr>
        <w:t>ą</w:t>
      </w:r>
      <w:r>
        <w:rPr>
          <w:rFonts w:cs="Times New Roman"/>
        </w:rPr>
        <w:t>pie</w:t>
      </w:r>
      <w:r>
        <w:rPr>
          <w:rFonts w:eastAsia="Times New Roman" w:cs="Times New Roman"/>
        </w:rPr>
        <w:t xml:space="preserve">ń </w:t>
      </w:r>
      <w:r>
        <w:rPr>
          <w:rFonts w:cs="Times New Roman"/>
        </w:rPr>
        <w:t>mog</w:t>
      </w:r>
      <w:r>
        <w:rPr>
          <w:rFonts w:eastAsia="Times New Roman" w:cs="Times New Roman"/>
        </w:rPr>
        <w:t xml:space="preserve">ą </w:t>
      </w:r>
      <w:r>
        <w:rPr>
          <w:rFonts w:cs="Times New Roman"/>
        </w:rPr>
        <w:t>by</w:t>
      </w:r>
      <w:r>
        <w:rPr>
          <w:rFonts w:eastAsia="Times New Roman" w:cs="Times New Roman"/>
        </w:rPr>
        <w:t xml:space="preserve">ć </w:t>
      </w:r>
      <w:r>
        <w:rPr>
          <w:rFonts w:cs="Times New Roman"/>
        </w:rPr>
        <w:t>tylko sprawy obj</w:t>
      </w:r>
      <w:r>
        <w:rPr>
          <w:rFonts w:eastAsia="Times New Roman" w:cs="Times New Roman"/>
        </w:rPr>
        <w:t>ę</w:t>
      </w:r>
      <w:r>
        <w:rPr>
          <w:rFonts w:cs="Times New Roman"/>
        </w:rPr>
        <w:t>te porz</w:t>
      </w:r>
      <w:r>
        <w:rPr>
          <w:rFonts w:eastAsia="Times New Roman" w:cs="Times New Roman"/>
        </w:rPr>
        <w:t>ą</w:t>
      </w:r>
      <w:r>
        <w:rPr>
          <w:rFonts w:cs="Times New Roman"/>
        </w:rPr>
        <w:t>dkiem posiedzenia.</w:t>
      </w:r>
    </w:p>
    <w:p w14:paraId="5564A501" w14:textId="77777777" w:rsidR="008B1C66" w:rsidRDefault="00F0363E">
      <w:pPr>
        <w:numPr>
          <w:ilvl w:val="0"/>
          <w:numId w:val="16"/>
        </w:numPr>
        <w:tabs>
          <w:tab w:val="clear" w:pos="720"/>
        </w:tabs>
        <w:spacing w:after="120" w:line="276" w:lineRule="auto"/>
        <w:ind w:left="426" w:hanging="426"/>
        <w:jc w:val="both"/>
        <w:rPr>
          <w:rFonts w:cs="Times New Roman"/>
        </w:rPr>
      </w:pPr>
      <w:r>
        <w:rPr>
          <w:rFonts w:cs="Times New Roman"/>
        </w:rPr>
        <w:t>W dyskusji głos mog</w:t>
      </w:r>
      <w:r>
        <w:rPr>
          <w:rFonts w:eastAsia="Times New Roman" w:cs="Times New Roman"/>
        </w:rPr>
        <w:t xml:space="preserve">ą </w:t>
      </w:r>
      <w:r>
        <w:rPr>
          <w:rFonts w:cs="Times New Roman"/>
        </w:rPr>
        <w:t>zabra</w:t>
      </w:r>
      <w:r>
        <w:rPr>
          <w:rFonts w:eastAsia="Times New Roman" w:cs="Times New Roman"/>
        </w:rPr>
        <w:t xml:space="preserve">ć </w:t>
      </w:r>
      <w:r>
        <w:rPr>
          <w:rFonts w:cs="Times New Roman"/>
        </w:rPr>
        <w:t>Członkowie Rady, członkowie Zarz</w:t>
      </w:r>
      <w:r>
        <w:rPr>
          <w:rFonts w:eastAsia="Times New Roman" w:cs="Times New Roman"/>
        </w:rPr>
        <w:t>ą</w:t>
      </w:r>
      <w:r>
        <w:rPr>
          <w:rFonts w:cs="Times New Roman"/>
        </w:rPr>
        <w:t>du, pracownik Biura oraz osoby zaproszone do udziału w posiedzeniu. Przewodnicz</w:t>
      </w:r>
      <w:r>
        <w:rPr>
          <w:rFonts w:eastAsia="Times New Roman" w:cs="Times New Roman"/>
        </w:rPr>
        <w:t>ą</w:t>
      </w:r>
      <w:r>
        <w:rPr>
          <w:rFonts w:cs="Times New Roman"/>
        </w:rPr>
        <w:t>cy Rady mo</w:t>
      </w:r>
      <w:r>
        <w:rPr>
          <w:rFonts w:eastAsia="Times New Roman" w:cs="Times New Roman"/>
        </w:rPr>
        <w:t>ż</w:t>
      </w:r>
      <w:r>
        <w:rPr>
          <w:rFonts w:cs="Times New Roman"/>
        </w:rPr>
        <w:t>e okre</w:t>
      </w:r>
      <w:r>
        <w:rPr>
          <w:rFonts w:eastAsia="Times New Roman" w:cs="Times New Roman"/>
        </w:rPr>
        <w:t>ś</w:t>
      </w:r>
      <w:r>
        <w:rPr>
          <w:rFonts w:cs="Times New Roman"/>
        </w:rPr>
        <w:t>li</w:t>
      </w:r>
      <w:r>
        <w:rPr>
          <w:rFonts w:eastAsia="Times New Roman" w:cs="Times New Roman"/>
        </w:rPr>
        <w:t xml:space="preserve">ć </w:t>
      </w:r>
      <w:r>
        <w:rPr>
          <w:rFonts w:cs="Times New Roman"/>
        </w:rPr>
        <w:t>maksymalny czas wyst</w:t>
      </w:r>
      <w:r>
        <w:rPr>
          <w:rFonts w:eastAsia="Times New Roman" w:cs="Times New Roman"/>
        </w:rPr>
        <w:t>ą</w:t>
      </w:r>
      <w:r>
        <w:rPr>
          <w:rFonts w:cs="Times New Roman"/>
        </w:rPr>
        <w:t>pienia.</w:t>
      </w:r>
    </w:p>
    <w:p w14:paraId="5564A502" w14:textId="77777777" w:rsidR="008B1C66" w:rsidRDefault="00F0363E">
      <w:pPr>
        <w:numPr>
          <w:ilvl w:val="0"/>
          <w:numId w:val="16"/>
        </w:numPr>
        <w:tabs>
          <w:tab w:val="clear" w:pos="720"/>
        </w:tabs>
        <w:spacing w:after="120" w:line="276" w:lineRule="auto"/>
        <w:ind w:left="426" w:hanging="426"/>
        <w:jc w:val="both"/>
        <w:rPr>
          <w:rFonts w:cs="Times New Roman"/>
        </w:rPr>
      </w:pPr>
      <w:r>
        <w:rPr>
          <w:rFonts w:cs="Times New Roman"/>
        </w:rPr>
        <w:t>Po wyczerpaniu listy mówców Przewodnicz</w:t>
      </w:r>
      <w:r>
        <w:rPr>
          <w:rFonts w:eastAsia="Times New Roman" w:cs="Times New Roman"/>
        </w:rPr>
        <w:t>ą</w:t>
      </w:r>
      <w:r>
        <w:rPr>
          <w:rFonts w:cs="Times New Roman"/>
        </w:rPr>
        <w:t>cy Rady zamyka dyskusj</w:t>
      </w:r>
      <w:r>
        <w:rPr>
          <w:rFonts w:eastAsia="Times New Roman" w:cs="Times New Roman"/>
        </w:rPr>
        <w:t>ę</w:t>
      </w:r>
      <w:r>
        <w:rPr>
          <w:rFonts w:cs="Times New Roman"/>
        </w:rPr>
        <w:t>. W razie potrzeby Przewodnicz</w:t>
      </w:r>
      <w:r>
        <w:rPr>
          <w:rFonts w:eastAsia="Times New Roman" w:cs="Times New Roman"/>
        </w:rPr>
        <w:t>ą</w:t>
      </w:r>
      <w:r>
        <w:rPr>
          <w:rFonts w:cs="Times New Roman"/>
        </w:rPr>
        <w:t>cy Rady mo</w:t>
      </w:r>
      <w:r>
        <w:rPr>
          <w:rFonts w:eastAsia="Times New Roman" w:cs="Times New Roman"/>
        </w:rPr>
        <w:t>ż</w:t>
      </w:r>
      <w:r>
        <w:rPr>
          <w:rFonts w:cs="Times New Roman"/>
        </w:rPr>
        <w:t>e zarz</w:t>
      </w:r>
      <w:r>
        <w:rPr>
          <w:rFonts w:eastAsia="Times New Roman" w:cs="Times New Roman"/>
        </w:rPr>
        <w:t>ą</w:t>
      </w:r>
      <w:r>
        <w:rPr>
          <w:rFonts w:cs="Times New Roman"/>
        </w:rPr>
        <w:t>dzi</w:t>
      </w:r>
      <w:r>
        <w:rPr>
          <w:rFonts w:eastAsia="Times New Roman" w:cs="Times New Roman"/>
        </w:rPr>
        <w:t xml:space="preserve">ć </w:t>
      </w:r>
      <w:r>
        <w:rPr>
          <w:rFonts w:cs="Times New Roman"/>
        </w:rPr>
        <w:t>przerw</w:t>
      </w:r>
      <w:r>
        <w:rPr>
          <w:rFonts w:eastAsia="Times New Roman" w:cs="Times New Roman"/>
        </w:rPr>
        <w:t xml:space="preserve">ę </w:t>
      </w:r>
      <w:r>
        <w:rPr>
          <w:rFonts w:cs="Times New Roman"/>
        </w:rPr>
        <w:t>w celu wykonania niezb</w:t>
      </w:r>
      <w:r>
        <w:rPr>
          <w:rFonts w:eastAsia="Times New Roman" w:cs="Times New Roman"/>
        </w:rPr>
        <w:t>ę</w:t>
      </w:r>
      <w:r>
        <w:rPr>
          <w:rFonts w:cs="Times New Roman"/>
        </w:rPr>
        <w:t>dnych czynno</w:t>
      </w:r>
      <w:r>
        <w:rPr>
          <w:rFonts w:eastAsia="Times New Roman" w:cs="Times New Roman"/>
        </w:rPr>
        <w:t>ś</w:t>
      </w:r>
      <w:r>
        <w:rPr>
          <w:rFonts w:cs="Times New Roman"/>
        </w:rPr>
        <w:t>ci przygotowawczych do głosowania, na przykład przygotowanie poprawek w projekcie uchwały lub innym rozpatrywanym dokumencie, przygotowania kart oceny operacji, sprawdzenie przepisów prawa, wytycznych Ministra Rolnictwa i Rozwoju Wsi lub postanowień regulaminu, LSR lub procedur.</w:t>
      </w:r>
    </w:p>
    <w:p w14:paraId="5564A503" w14:textId="77777777" w:rsidR="008B1C66" w:rsidRDefault="00F0363E">
      <w:pPr>
        <w:numPr>
          <w:ilvl w:val="0"/>
          <w:numId w:val="16"/>
        </w:numPr>
        <w:tabs>
          <w:tab w:val="clear" w:pos="720"/>
        </w:tabs>
        <w:spacing w:line="276" w:lineRule="auto"/>
        <w:ind w:left="426" w:hanging="426"/>
        <w:jc w:val="both"/>
        <w:rPr>
          <w:rFonts w:cs="Times New Roman"/>
        </w:rPr>
      </w:pPr>
      <w:r>
        <w:rPr>
          <w:rFonts w:cs="Times New Roman"/>
        </w:rPr>
        <w:t>Po zamkni</w:t>
      </w:r>
      <w:r>
        <w:rPr>
          <w:rFonts w:eastAsia="Times New Roman" w:cs="Times New Roman"/>
        </w:rPr>
        <w:t>ę</w:t>
      </w:r>
      <w:r>
        <w:rPr>
          <w:rFonts w:cs="Times New Roman"/>
        </w:rPr>
        <w:t>ciu dyskusji Przewodnicz</w:t>
      </w:r>
      <w:r>
        <w:rPr>
          <w:rFonts w:eastAsia="Times New Roman" w:cs="Times New Roman"/>
        </w:rPr>
        <w:t>ą</w:t>
      </w:r>
      <w:r>
        <w:rPr>
          <w:rFonts w:cs="Times New Roman"/>
        </w:rPr>
        <w:t>cy Rady rozpoczyna procedur</w:t>
      </w:r>
      <w:r>
        <w:rPr>
          <w:rFonts w:eastAsia="Times New Roman" w:cs="Times New Roman"/>
        </w:rPr>
        <w:t xml:space="preserve">ę </w:t>
      </w:r>
      <w:r>
        <w:rPr>
          <w:rFonts w:cs="Times New Roman"/>
        </w:rPr>
        <w:t>głosowania. Od tej chwili mo</w:t>
      </w:r>
      <w:r>
        <w:rPr>
          <w:rFonts w:eastAsia="Times New Roman" w:cs="Times New Roman"/>
        </w:rPr>
        <w:t>ż</w:t>
      </w:r>
      <w:r>
        <w:rPr>
          <w:rFonts w:cs="Times New Roman"/>
        </w:rPr>
        <w:t>na zabra</w:t>
      </w:r>
      <w:r>
        <w:rPr>
          <w:rFonts w:eastAsia="Times New Roman" w:cs="Times New Roman"/>
        </w:rPr>
        <w:t xml:space="preserve">ć </w:t>
      </w:r>
      <w:r>
        <w:rPr>
          <w:rFonts w:cs="Times New Roman"/>
        </w:rPr>
        <w:t>głos tylko w celu zgłoszenia lub uzasadnienia wniosku formalnego o sposobie lub porz</w:t>
      </w:r>
      <w:r>
        <w:rPr>
          <w:rFonts w:eastAsia="Times New Roman" w:cs="Times New Roman"/>
        </w:rPr>
        <w:t>ą</w:t>
      </w:r>
      <w:r>
        <w:rPr>
          <w:rFonts w:cs="Times New Roman"/>
        </w:rPr>
        <w:t>dku głosowania i to jedynie przed zarz</w:t>
      </w:r>
      <w:r>
        <w:rPr>
          <w:rFonts w:eastAsia="Times New Roman" w:cs="Times New Roman"/>
        </w:rPr>
        <w:t>ą</w:t>
      </w:r>
      <w:r>
        <w:rPr>
          <w:rFonts w:cs="Times New Roman"/>
        </w:rPr>
        <w:t>dzeniem głosowania przez Przewodnicz</w:t>
      </w:r>
      <w:r>
        <w:rPr>
          <w:rFonts w:eastAsia="Times New Roman" w:cs="Times New Roman"/>
        </w:rPr>
        <w:t>ą</w:t>
      </w:r>
      <w:r>
        <w:rPr>
          <w:rFonts w:cs="Times New Roman"/>
        </w:rPr>
        <w:t>cego Rady.</w:t>
      </w:r>
    </w:p>
    <w:p w14:paraId="5564A504" w14:textId="77777777" w:rsidR="008B1C66" w:rsidRDefault="008B1C66">
      <w:pPr>
        <w:spacing w:line="276" w:lineRule="auto"/>
        <w:rPr>
          <w:rFonts w:cs="Times New Roman"/>
        </w:rPr>
      </w:pPr>
    </w:p>
    <w:p w14:paraId="5564A505" w14:textId="77777777" w:rsidR="008B1C66" w:rsidRDefault="00F0363E">
      <w:pPr>
        <w:pStyle w:val="Tekstpodstawowy"/>
        <w:spacing w:line="276" w:lineRule="auto"/>
        <w:jc w:val="center"/>
        <w:rPr>
          <w:rFonts w:cs="Times New Roman"/>
          <w:b/>
        </w:rPr>
      </w:pPr>
      <w:r>
        <w:rPr>
          <w:rFonts w:cs="Times New Roman"/>
          <w:b/>
        </w:rPr>
        <w:t>§ 17</w:t>
      </w:r>
    </w:p>
    <w:p w14:paraId="5564A506" w14:textId="77777777" w:rsidR="008B1C66" w:rsidRDefault="00F0363E">
      <w:pPr>
        <w:pStyle w:val="Tekstpodstawowy"/>
        <w:numPr>
          <w:ilvl w:val="0"/>
          <w:numId w:val="10"/>
        </w:numPr>
        <w:tabs>
          <w:tab w:val="clear" w:pos="720"/>
        </w:tabs>
        <w:spacing w:line="276" w:lineRule="auto"/>
        <w:ind w:left="426" w:hanging="426"/>
        <w:jc w:val="both"/>
        <w:rPr>
          <w:rFonts w:cs="Times New Roman"/>
        </w:rPr>
      </w:pPr>
      <w:r>
        <w:rPr>
          <w:rFonts w:cs="Times New Roman"/>
        </w:rPr>
        <w:t>Przewodniczący Rady może udzielić głosu poza kolejnością zgłoszonych mówców, jeżeli zabranie głosu wiąże się bezpośrednio z głosem przedmówcy lub w trybie sprostowania, jednak nie dłużej niż 2 minuty. Poza kolejnością może także udzielić głosu członkom Zarządu, osobie referującej sprawę i osobie opiniującej projekt lub wniosek.</w:t>
      </w:r>
    </w:p>
    <w:p w14:paraId="5564A507" w14:textId="77777777" w:rsidR="008B1C66" w:rsidRDefault="00F0363E">
      <w:pPr>
        <w:pStyle w:val="Tekstpodstawowy"/>
        <w:numPr>
          <w:ilvl w:val="0"/>
          <w:numId w:val="10"/>
        </w:numPr>
        <w:tabs>
          <w:tab w:val="clear" w:pos="720"/>
        </w:tabs>
        <w:spacing w:line="276" w:lineRule="auto"/>
        <w:ind w:left="426" w:hanging="426"/>
        <w:jc w:val="both"/>
        <w:rPr>
          <w:rFonts w:cs="Times New Roman"/>
        </w:rPr>
      </w:pPr>
      <w:r>
        <w:rPr>
          <w:rFonts w:cs="Times New Roman"/>
        </w:rPr>
        <w:t>Poza kolejnością udziela się głosu Członkom Rady w sprawie zgłoszenia wniosku formalnego, w szczególności w sprawach:</w:t>
      </w:r>
    </w:p>
    <w:p w14:paraId="5564A508" w14:textId="77777777" w:rsidR="008B1C66" w:rsidRDefault="00F0363E">
      <w:pPr>
        <w:numPr>
          <w:ilvl w:val="0"/>
          <w:numId w:val="24"/>
        </w:numPr>
        <w:spacing w:after="120" w:line="276" w:lineRule="auto"/>
        <w:ind w:left="851" w:hanging="425"/>
        <w:jc w:val="both"/>
        <w:rPr>
          <w:rFonts w:cs="Times New Roman"/>
        </w:rPr>
      </w:pPr>
      <w:r>
        <w:rPr>
          <w:rFonts w:cs="Times New Roman"/>
          <w:color w:val="000000"/>
        </w:rPr>
        <w:t xml:space="preserve">stwierdzenia quorum lub parytetów, o </w:t>
      </w:r>
      <w:r>
        <w:rPr>
          <w:rFonts w:cs="Times New Roman"/>
        </w:rPr>
        <w:t>których mowa w § 13 ust. 3,</w:t>
      </w:r>
    </w:p>
    <w:p w14:paraId="5564A509"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sprawdzenia listy obecności,</w:t>
      </w:r>
    </w:p>
    <w:p w14:paraId="5564A50A"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przerwania lub zamknięcia posiedzenia,</w:t>
      </w:r>
    </w:p>
    <w:p w14:paraId="5564A50B"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zmiany porządku posiedzenia (kolejności rozpatrywania poszczególnych punktów),</w:t>
      </w:r>
    </w:p>
    <w:p w14:paraId="5564A50C"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głosowania bez dyskusji,</w:t>
      </w:r>
    </w:p>
    <w:p w14:paraId="5564A50D"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zamknięcia listy mówców,</w:t>
      </w:r>
    </w:p>
    <w:p w14:paraId="5564A50E"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ograniczenia czasu wystąpień mówców,</w:t>
      </w:r>
    </w:p>
    <w:p w14:paraId="5564A50F"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zamknięcia dyskusji,</w:t>
      </w:r>
    </w:p>
    <w:p w14:paraId="5564A510"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zarządzenia przerwy,</w:t>
      </w:r>
    </w:p>
    <w:p w14:paraId="5564A511"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zarządzenia głosowania imiennego,</w:t>
      </w:r>
    </w:p>
    <w:p w14:paraId="5564A512"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przeliczenia głosów,</w:t>
      </w:r>
    </w:p>
    <w:p w14:paraId="5564A513" w14:textId="77777777" w:rsidR="008B1C66" w:rsidRDefault="00F0363E">
      <w:pPr>
        <w:numPr>
          <w:ilvl w:val="0"/>
          <w:numId w:val="24"/>
        </w:numPr>
        <w:spacing w:after="120" w:line="276" w:lineRule="auto"/>
        <w:ind w:left="851" w:hanging="425"/>
        <w:jc w:val="both"/>
        <w:rPr>
          <w:rFonts w:cs="Times New Roman"/>
          <w:color w:val="000000"/>
        </w:rPr>
      </w:pPr>
      <w:r>
        <w:rPr>
          <w:rFonts w:cs="Times New Roman"/>
          <w:color w:val="000000"/>
        </w:rPr>
        <w:t>reasumpcji głosowania.</w:t>
      </w:r>
    </w:p>
    <w:p w14:paraId="5564A514" w14:textId="77777777" w:rsidR="008B1C66" w:rsidRDefault="00F0363E">
      <w:pPr>
        <w:pStyle w:val="Tekstpodstawowy"/>
        <w:numPr>
          <w:ilvl w:val="0"/>
          <w:numId w:val="10"/>
        </w:numPr>
        <w:tabs>
          <w:tab w:val="clear" w:pos="720"/>
        </w:tabs>
        <w:spacing w:line="276" w:lineRule="auto"/>
        <w:ind w:left="426" w:hanging="426"/>
        <w:jc w:val="both"/>
        <w:rPr>
          <w:rFonts w:cs="Times New Roman"/>
        </w:rPr>
      </w:pPr>
      <w:r>
        <w:rPr>
          <w:rFonts w:cs="Times New Roman"/>
        </w:rPr>
        <w:lastRenderedPageBreak/>
        <w:t>Wniosek formalny powinien zawierać żądanie i zwięzłe uzasadnienie, a wystąpienie w tej sprawie nie może trwać dłużej niż 2 minuty.</w:t>
      </w:r>
    </w:p>
    <w:p w14:paraId="5564A515" w14:textId="77777777" w:rsidR="008B1C66" w:rsidRDefault="00F0363E">
      <w:pPr>
        <w:pStyle w:val="Tekstpodstawowy"/>
        <w:numPr>
          <w:ilvl w:val="0"/>
          <w:numId w:val="10"/>
        </w:numPr>
        <w:tabs>
          <w:tab w:val="clear" w:pos="720"/>
        </w:tabs>
        <w:spacing w:line="276" w:lineRule="auto"/>
        <w:ind w:left="426" w:hanging="426"/>
        <w:jc w:val="both"/>
        <w:rPr>
          <w:rFonts w:cs="Times New Roman"/>
        </w:rPr>
      </w:pPr>
      <w:r>
        <w:rPr>
          <w:rFonts w:cs="Times New Roman"/>
        </w:rPr>
        <w:t>Rada rozstrzyga o wniosku formalnym niezwłocznie po jego zgłoszeniu. O przyjęciu lub odrzuceniu wniosku Rada rozstrzyga po wysłuchaniu wnioskodawcy i ewentualnie jednego przeciwnika wniosku.</w:t>
      </w:r>
    </w:p>
    <w:p w14:paraId="5564A516" w14:textId="77777777" w:rsidR="008B1C66" w:rsidRDefault="00F0363E">
      <w:pPr>
        <w:pStyle w:val="Tekstpodstawowy"/>
        <w:numPr>
          <w:ilvl w:val="0"/>
          <w:numId w:val="10"/>
        </w:numPr>
        <w:tabs>
          <w:tab w:val="clear" w:pos="720"/>
        </w:tabs>
        <w:spacing w:line="276" w:lineRule="auto"/>
        <w:ind w:left="426" w:hanging="426"/>
        <w:jc w:val="both"/>
        <w:rPr>
          <w:rFonts w:cs="Times New Roman"/>
        </w:rPr>
      </w:pPr>
      <w:r>
        <w:rPr>
          <w:rFonts w:cs="Times New Roman"/>
        </w:rPr>
        <w:t>Wniosków formalnych, o których mowa w ust. 2 pkt 1 i 2, nie poddaje się pod głosowanie.</w:t>
      </w:r>
    </w:p>
    <w:p w14:paraId="5564A517" w14:textId="77777777" w:rsidR="008B1C66" w:rsidRDefault="008B1C66">
      <w:pPr>
        <w:spacing w:line="276" w:lineRule="auto"/>
        <w:rPr>
          <w:rFonts w:cs="Times New Roman"/>
        </w:rPr>
      </w:pPr>
    </w:p>
    <w:p w14:paraId="5564A518" w14:textId="77777777" w:rsidR="008B1C66" w:rsidRDefault="00F0363E">
      <w:pPr>
        <w:pStyle w:val="Tekstpodstawowy"/>
        <w:spacing w:line="276" w:lineRule="auto"/>
        <w:jc w:val="center"/>
        <w:rPr>
          <w:rFonts w:cs="Times New Roman"/>
          <w:b/>
        </w:rPr>
      </w:pPr>
      <w:r>
        <w:rPr>
          <w:rFonts w:cs="Times New Roman"/>
          <w:b/>
        </w:rPr>
        <w:t>§ 18</w:t>
      </w:r>
    </w:p>
    <w:p w14:paraId="5564A51A" w14:textId="790737A7" w:rsidR="008B1C66" w:rsidRDefault="00F0363E" w:rsidP="0031077F">
      <w:pPr>
        <w:spacing w:after="120" w:line="276" w:lineRule="auto"/>
        <w:rPr>
          <w:rFonts w:cs="Times New Roman"/>
        </w:rPr>
      </w:pPr>
      <w:r>
        <w:rPr>
          <w:rFonts w:cs="Times New Roman"/>
        </w:rPr>
        <w:t>Po wyczerpaniu porządku posiedzenia, Przewodniczący Rady zamyka posiedzenie.</w:t>
      </w:r>
    </w:p>
    <w:p w14:paraId="5564A51B" w14:textId="77777777" w:rsidR="008B1C66" w:rsidRDefault="008B1C66">
      <w:pPr>
        <w:spacing w:line="276" w:lineRule="auto"/>
        <w:rPr>
          <w:rFonts w:cs="Times New Roman"/>
        </w:rPr>
      </w:pPr>
    </w:p>
    <w:p w14:paraId="5564A51C" w14:textId="77777777" w:rsidR="008B1C66" w:rsidRDefault="00F0363E">
      <w:pPr>
        <w:spacing w:line="276" w:lineRule="auto"/>
        <w:jc w:val="center"/>
        <w:rPr>
          <w:rFonts w:cs="Times New Roman"/>
          <w:b/>
        </w:rPr>
      </w:pPr>
      <w:r>
        <w:rPr>
          <w:rFonts w:cs="Times New Roman"/>
          <w:b/>
        </w:rPr>
        <w:t>ROZDZIAŁ VI</w:t>
      </w:r>
    </w:p>
    <w:p w14:paraId="5564A51D" w14:textId="77777777" w:rsidR="008B1C66" w:rsidRDefault="00F0363E">
      <w:pPr>
        <w:spacing w:after="120" w:line="276" w:lineRule="auto"/>
        <w:jc w:val="center"/>
        <w:rPr>
          <w:rFonts w:cs="Times New Roman"/>
          <w:b/>
        </w:rPr>
      </w:pPr>
      <w:r>
        <w:rPr>
          <w:rFonts w:cs="Times New Roman"/>
          <w:b/>
        </w:rPr>
        <w:t>Posiedzenia Rady w trybie zdalnym</w:t>
      </w:r>
    </w:p>
    <w:p w14:paraId="5564A51E" w14:textId="77777777" w:rsidR="008B1C66" w:rsidRDefault="008B1C66">
      <w:pPr>
        <w:spacing w:line="276" w:lineRule="auto"/>
        <w:jc w:val="both"/>
        <w:rPr>
          <w:rFonts w:cs="Times New Roman"/>
          <w:b/>
        </w:rPr>
      </w:pPr>
    </w:p>
    <w:p w14:paraId="5564A51F" w14:textId="77777777" w:rsidR="008B1C66" w:rsidRDefault="00F0363E">
      <w:pPr>
        <w:spacing w:after="120" w:line="276" w:lineRule="auto"/>
        <w:jc w:val="center"/>
        <w:rPr>
          <w:rFonts w:cs="Times New Roman"/>
          <w:b/>
        </w:rPr>
      </w:pPr>
      <w:r>
        <w:rPr>
          <w:rFonts w:cs="Times New Roman"/>
          <w:b/>
        </w:rPr>
        <w:t>§ 19</w:t>
      </w:r>
    </w:p>
    <w:p w14:paraId="5564A520"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 xml:space="preserve">W przypadku zwołania posiedzenia w trybie zdalnym, odbywa się ono w terminie wyznaczonym w zawiadomieniu o posiedzeniu, ale bez jednoczesnej obecności w tym samym miejscu Członków Rady. </w:t>
      </w:r>
    </w:p>
    <w:p w14:paraId="5564A521"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Posiedzenie w trybie zdalnym odbywa się przy wykorzystaniu sprzętu elektronicznego Członków Rady.</w:t>
      </w:r>
    </w:p>
    <w:p w14:paraId="5564A522"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Posiedzenie Rady odbywa się przy użyciu programu komputerowego umożliwiającego:</w:t>
      </w:r>
    </w:p>
    <w:p w14:paraId="5564A523" w14:textId="77777777" w:rsidR="008B1C66" w:rsidRDefault="00F0363E">
      <w:pPr>
        <w:pStyle w:val="Akapitzlist"/>
        <w:numPr>
          <w:ilvl w:val="0"/>
          <w:numId w:val="40"/>
        </w:numPr>
        <w:spacing w:after="120" w:line="276" w:lineRule="auto"/>
        <w:ind w:left="851" w:hanging="425"/>
        <w:jc w:val="both"/>
        <w:rPr>
          <w:rFonts w:cs="Times New Roman"/>
        </w:rPr>
      </w:pPr>
      <w:r>
        <w:rPr>
          <w:rFonts w:cs="Times New Roman"/>
        </w:rPr>
        <w:t>transmisję obrad posiedzenia w czasie rzeczywistym;</w:t>
      </w:r>
    </w:p>
    <w:p w14:paraId="5564A524" w14:textId="77777777" w:rsidR="008B1C66" w:rsidRDefault="00F0363E">
      <w:pPr>
        <w:pStyle w:val="Akapitzlist"/>
        <w:numPr>
          <w:ilvl w:val="0"/>
          <w:numId w:val="40"/>
        </w:numPr>
        <w:spacing w:after="120" w:line="276" w:lineRule="auto"/>
        <w:ind w:left="851" w:hanging="425"/>
        <w:jc w:val="both"/>
        <w:rPr>
          <w:rFonts w:cs="Times New Roman"/>
        </w:rPr>
      </w:pPr>
      <w:r>
        <w:rPr>
          <w:rFonts w:cs="Times New Roman"/>
        </w:rPr>
        <w:t>dwustronną komunikację w czasie rzeczywistym, w ramach której Członek Rady może wypowiadać się w toku obrad;</w:t>
      </w:r>
    </w:p>
    <w:p w14:paraId="5564A525" w14:textId="77777777" w:rsidR="008B1C66" w:rsidRDefault="00F0363E">
      <w:pPr>
        <w:pStyle w:val="Akapitzlist"/>
        <w:numPr>
          <w:ilvl w:val="0"/>
          <w:numId w:val="40"/>
        </w:numPr>
        <w:spacing w:after="120" w:line="276" w:lineRule="auto"/>
        <w:ind w:left="851" w:hanging="425"/>
        <w:jc w:val="both"/>
        <w:rPr>
          <w:rFonts w:cs="Times New Roman"/>
        </w:rPr>
      </w:pPr>
      <w:r>
        <w:rPr>
          <w:rFonts w:cs="Times New Roman"/>
        </w:rPr>
        <w:t>wykonywanie przez Członka Rady prawa głosu przed lub w toku posiedzenia.</w:t>
      </w:r>
    </w:p>
    <w:p w14:paraId="5564A526"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Przed rozpoczęciem posiedzenia w trybie zdalnym Członkowie Rady zobowiązani są potwierdzić (w formie pisemnej lub dokumentowej, tj. np. drogą elektroniczną, za pomocą programu wykorzystywanego do przeprowadzenia elektronicznej oceny wniosków lub programu służącego do przeprowadzenia posiedzenia w trybie zdalnym – tak by potwierdzenie zostało utrwalone i było możliwe do wydruku) swoją zgodę na przeprowadzenie posiedzenia w trybie zdalnym. Posiedzenie w trybie zdalnym można przeprowadzić jedynie wówczas, gdy większość Członków Rady wyrazi na to zgodę. Zgody Członków Rady na odbycie posiedzenia Rady w trybie zdalnym dołącza się do dokumentacji z posiedzenia.</w:t>
      </w:r>
    </w:p>
    <w:p w14:paraId="5564A527"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Członkowie Rady uczestniczący w posiedzeniu w trybie zdalnym potwierdzają swoją obecność w posiedzeniu poprzez zalogowanie się w programie umożliwiającym ich udział w posiedzeniu. Jeżeli ten program nie umożliwia zarejestrowania i utrwalenia w formie dokumentowej tego, kto uczestniczył w posiedzeniu (np. poprzez wydruk listy uczestników), obecność na posiedzeniu dodatkowo potwierdza się wysyłając drogą elektroniczną do Przewodniczącego Rady wiadomość potwierdzającą gotowość do udziału w posiedzeniu (wiadomość ta może zostać połączona ze zgodą, o której mowa w ust. 4). Wiadomość, o której mowa w poprzednim zdaniu, powinna zostać wysłana z adresu poczty elektronicznej Członka Rady, o którym mowa w § 3 ust. 14, nie wcześniej niż pół godziny przed rozpoczęciem posiedzenia.</w:t>
      </w:r>
    </w:p>
    <w:p w14:paraId="5564A528"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 xml:space="preserve">Głosowanie z sprawach innych niż wymagające zastosowania kart oceny operacji, o których mowa w regulaminie, odbywa się przy przez zabranie głosu przez Członka Rady przy użyciu </w:t>
      </w:r>
      <w:r>
        <w:rPr>
          <w:rFonts w:cs="Times New Roman"/>
        </w:rPr>
        <w:lastRenderedPageBreak/>
        <w:t>programu komputerowego, o którym mowa w ust. 3. Przewodniczący Rady może zarządzić głosowanie poprzez wysłanie przez Członków Rady w trakcie posiedzenia, z ich adresów poczty elektronicznej, o których mowa w § 3 ust. 14, na adres Przewodniczącego Rady stosownej wiadomości.</w:t>
      </w:r>
    </w:p>
    <w:p w14:paraId="5564A529" w14:textId="77777777" w:rsidR="008B1C66" w:rsidRDefault="00F0363E">
      <w:pPr>
        <w:pStyle w:val="Akapitzlist"/>
        <w:numPr>
          <w:ilvl w:val="1"/>
          <w:numId w:val="11"/>
        </w:numPr>
        <w:spacing w:after="120" w:line="276" w:lineRule="auto"/>
        <w:ind w:left="426" w:hanging="426"/>
        <w:jc w:val="both"/>
        <w:rPr>
          <w:rFonts w:cs="Times New Roman"/>
        </w:rPr>
      </w:pPr>
      <w:r>
        <w:rPr>
          <w:rFonts w:cs="Times New Roman"/>
        </w:rPr>
        <w:t>Fakt odbycia posiedzenia w trybie zdalnym zaznacza się w protokole z posiedzenia.</w:t>
      </w:r>
    </w:p>
    <w:p w14:paraId="5564A52A" w14:textId="77777777" w:rsidR="008B1C66" w:rsidRDefault="008B1C66">
      <w:pPr>
        <w:spacing w:line="276" w:lineRule="auto"/>
        <w:jc w:val="both"/>
        <w:rPr>
          <w:rFonts w:cs="Times New Roman"/>
        </w:rPr>
      </w:pPr>
    </w:p>
    <w:p w14:paraId="5564A52B" w14:textId="77777777" w:rsidR="008B1C66" w:rsidRDefault="00F0363E">
      <w:pPr>
        <w:spacing w:after="120" w:line="276" w:lineRule="auto"/>
        <w:jc w:val="center"/>
        <w:rPr>
          <w:rFonts w:cs="Times New Roman"/>
          <w:b/>
        </w:rPr>
      </w:pPr>
      <w:r>
        <w:rPr>
          <w:rFonts w:cs="Times New Roman"/>
          <w:b/>
        </w:rPr>
        <w:t>§ 20</w:t>
      </w:r>
    </w:p>
    <w:p w14:paraId="5564A52C" w14:textId="77777777" w:rsidR="008B1C66" w:rsidRDefault="00F0363E">
      <w:pPr>
        <w:spacing w:after="120" w:line="276" w:lineRule="auto"/>
        <w:jc w:val="both"/>
        <w:rPr>
          <w:rFonts w:cs="Times New Roman"/>
        </w:rPr>
      </w:pPr>
      <w:r>
        <w:rPr>
          <w:rFonts w:cs="Times New Roman"/>
        </w:rPr>
        <w:t>Ocena operacji i wniosków złożonych w związku z realizacją LSR dokonywana w ramach posiedzenia w trybie zdalnym odbywa się z zachowaniem poniższych odrębności:</w:t>
      </w:r>
    </w:p>
    <w:p w14:paraId="5564A52D" w14:textId="77777777" w:rsidR="008B1C66" w:rsidRDefault="00F0363E">
      <w:pPr>
        <w:pStyle w:val="Akapitzlist"/>
        <w:numPr>
          <w:ilvl w:val="1"/>
          <w:numId w:val="41"/>
        </w:numPr>
        <w:spacing w:after="120" w:line="276" w:lineRule="auto"/>
        <w:ind w:left="567" w:hanging="425"/>
        <w:jc w:val="both"/>
        <w:rPr>
          <w:rFonts w:cs="Times New Roman"/>
        </w:rPr>
      </w:pPr>
      <w:r>
        <w:rPr>
          <w:rFonts w:cs="Times New Roman"/>
        </w:rPr>
        <w:t>po potwierdzeniu obecności na posiedzeniu Członkowie Rady wypełniają deklaracje bezstronności w systemie informatycznym LGD, a jeżeli ten system na to nie pozwala, Członkowie Rady przed przystąpieniem do oceny operacji przesyłają drogą elektroniczną do Przewodniczącego Rady, z adresów poczty elektronicznej, o których mowa w § 3 ust. 14, wypełnioną deklarację bezstronności, a następnie, w terminie 7 dni od dnia zakończenia posiedzenia Rady, przekazują wypełnioną i podpisaną deklarację bezstronności do Biura – podpisaną deklarację dołącza się do dokumentacji z naboru;</w:t>
      </w:r>
    </w:p>
    <w:p w14:paraId="5564A52E" w14:textId="77777777" w:rsidR="008B1C66" w:rsidRDefault="00F0363E">
      <w:pPr>
        <w:pStyle w:val="Akapitzlist"/>
        <w:numPr>
          <w:ilvl w:val="1"/>
          <w:numId w:val="41"/>
        </w:numPr>
        <w:spacing w:after="120" w:line="276" w:lineRule="auto"/>
        <w:ind w:left="567" w:hanging="425"/>
        <w:jc w:val="both"/>
        <w:rPr>
          <w:rFonts w:cs="Times New Roman"/>
        </w:rPr>
      </w:pPr>
      <w:r>
        <w:rPr>
          <w:rFonts w:cs="Times New Roman"/>
        </w:rPr>
        <w:t xml:space="preserve">w trakcie posiedzenia w trybie zdalnym, </w:t>
      </w:r>
      <w:bookmarkStart w:id="2" w:name="_Hlk165611401"/>
      <w:r>
        <w:rPr>
          <w:rFonts w:cs="Times New Roman"/>
        </w:rPr>
        <w:t>na którym prowadzona jest ocena operacji lub wniosków o powierzenie grantów</w:t>
      </w:r>
      <w:bookmarkEnd w:id="2"/>
      <w:r>
        <w:rPr>
          <w:rFonts w:cs="Times New Roman"/>
        </w:rPr>
        <w:t>, Członkowie Rady uruchamiają system informatyczny LGD i dokonują oceny poszczególnych operacji;</w:t>
      </w:r>
    </w:p>
    <w:p w14:paraId="5564A52F" w14:textId="77777777" w:rsidR="008B1C66" w:rsidRDefault="00F0363E">
      <w:pPr>
        <w:pStyle w:val="Akapitzlist"/>
        <w:numPr>
          <w:ilvl w:val="1"/>
          <w:numId w:val="41"/>
        </w:numPr>
        <w:spacing w:after="120" w:line="276" w:lineRule="auto"/>
        <w:ind w:left="567" w:hanging="425"/>
        <w:jc w:val="both"/>
        <w:rPr>
          <w:rFonts w:cs="Times New Roman"/>
        </w:rPr>
      </w:pPr>
      <w:r>
        <w:rPr>
          <w:rFonts w:cs="Times New Roman"/>
        </w:rPr>
        <w:t>w przypadku posiedzenia w trybie zdalnym ocena operacji odbywa się wyłącznie przy pomocy systemu informatycznego LGD, przy czym system ten powinien umożliwiać ustalenie w jaki sposób głosowali poszczególni Członkowie Rady w zakresie poszczególnych kwestii i kryteriów, oraz czy faktycznie wyłączyli się z oceny wniosków, co do których zachodziły przesłanki braku bezstronności;</w:t>
      </w:r>
    </w:p>
    <w:p w14:paraId="5564A530" w14:textId="77777777" w:rsidR="008B1C66" w:rsidRDefault="00F0363E">
      <w:pPr>
        <w:pStyle w:val="Akapitzlist"/>
        <w:numPr>
          <w:ilvl w:val="1"/>
          <w:numId w:val="41"/>
        </w:numPr>
        <w:spacing w:after="120" w:line="276" w:lineRule="auto"/>
        <w:ind w:left="567" w:hanging="425"/>
        <w:jc w:val="both"/>
        <w:rPr>
          <w:rFonts w:cs="Times New Roman"/>
        </w:rPr>
      </w:pPr>
      <w:r>
        <w:rPr>
          <w:rFonts w:cs="Times New Roman"/>
        </w:rPr>
        <w:t>na podstawie oceny dokonanej przez Członków Rady przy pomocy programu wykorzystywanego do przeprowadzenia elektronicznej oceny wniosków Przewodniczący Rady sporządza stosowną uchwałę, której tekst przedstawia Członkom Rady do przyjęcia w trakcie posiedzenia; uchwała jest podpisywana po zakończeniu posiedzenia zgodnie z zasadami określonymi w regulaminie.</w:t>
      </w:r>
    </w:p>
    <w:p w14:paraId="5564A531" w14:textId="77777777" w:rsidR="008B1C66" w:rsidRDefault="008B1C66">
      <w:pPr>
        <w:pStyle w:val="Akapitzlist"/>
        <w:spacing w:line="276" w:lineRule="auto"/>
        <w:ind w:left="0"/>
        <w:jc w:val="both"/>
      </w:pPr>
    </w:p>
    <w:p w14:paraId="5564A532" w14:textId="77777777" w:rsidR="008B1C66" w:rsidRDefault="00F0363E">
      <w:pPr>
        <w:spacing w:after="120" w:line="276" w:lineRule="auto"/>
        <w:jc w:val="center"/>
        <w:rPr>
          <w:rFonts w:cs="Times New Roman"/>
          <w:b/>
        </w:rPr>
      </w:pPr>
      <w:r>
        <w:rPr>
          <w:rFonts w:cs="Times New Roman"/>
          <w:b/>
        </w:rPr>
        <w:t>§ 21</w:t>
      </w:r>
    </w:p>
    <w:p w14:paraId="5564A533" w14:textId="77777777" w:rsidR="008B1C66" w:rsidRDefault="00F0363E">
      <w:pPr>
        <w:spacing w:line="276" w:lineRule="auto"/>
        <w:jc w:val="both"/>
      </w:pPr>
      <w:r>
        <w:rPr>
          <w:rFonts w:cs="Times New Roman"/>
        </w:rPr>
        <w:t>W zakresie nieuregulowanym w tym rozdziale do posiedzeń odbywających się w trybie zdalnym stosuje się odpowiednio pozostałe postanowienia regulaminu, z uwzględnieniem specyfiki takiego posiedzenia, w trakcie którego Członkowie Rady nie są jednocześnie obecni w tym samym miejscu.</w:t>
      </w:r>
    </w:p>
    <w:p w14:paraId="5564A534" w14:textId="77777777" w:rsidR="008B1C66" w:rsidRDefault="008B1C66">
      <w:pPr>
        <w:spacing w:line="276" w:lineRule="auto"/>
        <w:rPr>
          <w:rFonts w:cs="Times New Roman"/>
          <w:b/>
        </w:rPr>
      </w:pPr>
    </w:p>
    <w:p w14:paraId="5564A535" w14:textId="77777777" w:rsidR="008B1C66" w:rsidRDefault="008B1C66">
      <w:pPr>
        <w:spacing w:line="276" w:lineRule="auto"/>
        <w:rPr>
          <w:rFonts w:cs="Times New Roman"/>
          <w:b/>
        </w:rPr>
      </w:pPr>
    </w:p>
    <w:p w14:paraId="5564A536" w14:textId="77777777" w:rsidR="008B1C66" w:rsidRDefault="00F0363E">
      <w:pPr>
        <w:spacing w:after="120" w:line="276" w:lineRule="auto"/>
        <w:jc w:val="center"/>
        <w:rPr>
          <w:rFonts w:cs="Times New Roman"/>
          <w:b/>
          <w:bCs/>
        </w:rPr>
      </w:pPr>
      <w:r>
        <w:rPr>
          <w:rFonts w:cs="Times New Roman"/>
          <w:b/>
          <w:bCs/>
        </w:rPr>
        <w:t>ROZDZIAŁ VII</w:t>
      </w:r>
    </w:p>
    <w:p w14:paraId="5564A537" w14:textId="77777777" w:rsidR="008B1C66" w:rsidRDefault="00F0363E">
      <w:pPr>
        <w:spacing w:after="120" w:line="276" w:lineRule="auto"/>
        <w:jc w:val="center"/>
        <w:rPr>
          <w:rFonts w:cs="Times New Roman"/>
          <w:b/>
        </w:rPr>
      </w:pPr>
      <w:r>
        <w:rPr>
          <w:rFonts w:cs="Times New Roman"/>
          <w:b/>
        </w:rPr>
        <w:t>Głosowanie</w:t>
      </w:r>
    </w:p>
    <w:p w14:paraId="5564A538" w14:textId="77777777" w:rsidR="008B1C66" w:rsidRDefault="008B1C66">
      <w:pPr>
        <w:spacing w:line="276" w:lineRule="auto"/>
        <w:jc w:val="center"/>
        <w:rPr>
          <w:rFonts w:cs="Times New Roman"/>
        </w:rPr>
      </w:pPr>
    </w:p>
    <w:p w14:paraId="5564A539" w14:textId="77777777" w:rsidR="008B1C66" w:rsidRDefault="00F0363E">
      <w:pPr>
        <w:spacing w:after="120" w:line="276" w:lineRule="auto"/>
        <w:jc w:val="center"/>
        <w:rPr>
          <w:rFonts w:cs="Times New Roman"/>
          <w:b/>
        </w:rPr>
      </w:pPr>
      <w:r>
        <w:rPr>
          <w:rFonts w:cs="Times New Roman"/>
          <w:b/>
        </w:rPr>
        <w:t>§ 22</w:t>
      </w:r>
    </w:p>
    <w:p w14:paraId="5564A53A" w14:textId="77777777" w:rsidR="008B1C66" w:rsidRDefault="00F0363E">
      <w:pPr>
        <w:numPr>
          <w:ilvl w:val="0"/>
          <w:numId w:val="31"/>
        </w:numPr>
        <w:tabs>
          <w:tab w:val="clear" w:pos="720"/>
        </w:tabs>
        <w:spacing w:after="120" w:line="276" w:lineRule="auto"/>
        <w:ind w:left="426" w:hanging="426"/>
        <w:jc w:val="both"/>
        <w:rPr>
          <w:rFonts w:cs="Times New Roman"/>
        </w:rPr>
      </w:pPr>
      <w:r>
        <w:rPr>
          <w:rFonts w:cs="Times New Roman"/>
        </w:rPr>
        <w:t>Każdemu z Członków Rady przysługuje 1 głos.</w:t>
      </w:r>
    </w:p>
    <w:p w14:paraId="5564A53B" w14:textId="77777777" w:rsidR="008B1C66" w:rsidRDefault="00F0363E">
      <w:pPr>
        <w:numPr>
          <w:ilvl w:val="0"/>
          <w:numId w:val="31"/>
        </w:numPr>
        <w:tabs>
          <w:tab w:val="clear" w:pos="720"/>
        </w:tabs>
        <w:spacing w:after="120" w:line="276" w:lineRule="auto"/>
        <w:ind w:left="426" w:hanging="426"/>
        <w:jc w:val="both"/>
        <w:rPr>
          <w:rFonts w:cs="Times New Roman"/>
        </w:rPr>
      </w:pPr>
      <w:r>
        <w:rPr>
          <w:rFonts w:cs="Times New Roman"/>
        </w:rPr>
        <w:t>Głosowania Rady są jawne.</w:t>
      </w:r>
    </w:p>
    <w:p w14:paraId="5564A53C" w14:textId="77777777" w:rsidR="008B1C66" w:rsidRDefault="008B1C66">
      <w:pPr>
        <w:spacing w:line="276" w:lineRule="auto"/>
        <w:rPr>
          <w:rFonts w:cs="Times New Roman"/>
        </w:rPr>
      </w:pPr>
    </w:p>
    <w:p w14:paraId="5564A53D" w14:textId="77777777" w:rsidR="008B1C66" w:rsidRDefault="00F0363E">
      <w:pPr>
        <w:spacing w:after="120" w:line="276" w:lineRule="auto"/>
        <w:jc w:val="center"/>
        <w:rPr>
          <w:rFonts w:cs="Times New Roman"/>
          <w:b/>
        </w:rPr>
      </w:pPr>
      <w:r>
        <w:rPr>
          <w:rFonts w:cs="Times New Roman"/>
          <w:b/>
        </w:rPr>
        <w:t>§ 23</w:t>
      </w:r>
    </w:p>
    <w:p w14:paraId="5564A53E" w14:textId="77777777" w:rsidR="008B1C66" w:rsidRDefault="00F0363E">
      <w:pPr>
        <w:numPr>
          <w:ilvl w:val="0"/>
          <w:numId w:val="32"/>
        </w:numPr>
        <w:tabs>
          <w:tab w:val="clear" w:pos="720"/>
        </w:tabs>
        <w:spacing w:after="120" w:line="276" w:lineRule="auto"/>
        <w:ind w:left="426" w:hanging="426"/>
        <w:jc w:val="both"/>
        <w:rPr>
          <w:rFonts w:cs="Times New Roman"/>
        </w:rPr>
      </w:pPr>
      <w:r>
        <w:rPr>
          <w:rFonts w:cs="Times New Roman"/>
        </w:rPr>
        <w:t>Przewodniczący Rady rozpoczyna procedurę głosowania i zarządza głosowanie zgodnie z postanowieniami wynikającymi ze statutu LGD oraz regulaminu.</w:t>
      </w:r>
    </w:p>
    <w:p w14:paraId="5564A53F" w14:textId="77777777" w:rsidR="008B1C66" w:rsidRDefault="00F0363E">
      <w:pPr>
        <w:numPr>
          <w:ilvl w:val="0"/>
          <w:numId w:val="32"/>
        </w:numPr>
        <w:tabs>
          <w:tab w:val="clear" w:pos="720"/>
        </w:tabs>
        <w:spacing w:after="120" w:line="276" w:lineRule="auto"/>
        <w:ind w:left="426" w:hanging="426"/>
        <w:jc w:val="both"/>
        <w:rPr>
          <w:rFonts w:cs="Times New Roman"/>
        </w:rPr>
      </w:pPr>
      <w:r>
        <w:rPr>
          <w:rFonts w:cs="Times New Roman"/>
        </w:rPr>
        <w:t xml:space="preserve">Przed zarządzeniem głosowania Przewodniczący Rady może wyjaśnić sposób głosowania oraz zasady obliczania wyników głosowania. </w:t>
      </w:r>
    </w:p>
    <w:p w14:paraId="5564A540" w14:textId="77777777" w:rsidR="008B1C66" w:rsidRDefault="008B1C66">
      <w:pPr>
        <w:spacing w:line="276" w:lineRule="auto"/>
        <w:rPr>
          <w:rFonts w:cs="Times New Roman"/>
        </w:rPr>
      </w:pPr>
    </w:p>
    <w:p w14:paraId="5564A541" w14:textId="77777777" w:rsidR="008B1C66" w:rsidRDefault="00F0363E">
      <w:pPr>
        <w:spacing w:after="120" w:line="276" w:lineRule="auto"/>
        <w:jc w:val="center"/>
        <w:rPr>
          <w:rFonts w:cs="Times New Roman"/>
          <w:b/>
        </w:rPr>
      </w:pPr>
      <w:r>
        <w:rPr>
          <w:rFonts w:cs="Times New Roman"/>
          <w:b/>
        </w:rPr>
        <w:t>§ 24</w:t>
      </w:r>
    </w:p>
    <w:p w14:paraId="5564A542" w14:textId="77777777" w:rsidR="008B1C66" w:rsidRDefault="00F0363E">
      <w:pPr>
        <w:numPr>
          <w:ilvl w:val="0"/>
          <w:numId w:val="26"/>
        </w:numPr>
        <w:spacing w:after="120" w:line="276" w:lineRule="auto"/>
        <w:ind w:left="426" w:hanging="426"/>
        <w:jc w:val="both"/>
        <w:rPr>
          <w:rFonts w:cs="Times New Roman"/>
        </w:rPr>
      </w:pPr>
      <w:r>
        <w:rPr>
          <w:rFonts w:cs="Times New Roman"/>
        </w:rPr>
        <w:t>Wybór przez Radę operacji złożonych w ramach danego naboru wniosków polega na dokonaniu przez Członków Rady oceny każdej operacji objętej wnioskiem złożonym w naborze biorąc pod uwagę:</w:t>
      </w:r>
    </w:p>
    <w:p w14:paraId="5564A543" w14:textId="77777777" w:rsidR="008B1C66" w:rsidRDefault="00F0363E">
      <w:pPr>
        <w:numPr>
          <w:ilvl w:val="0"/>
          <w:numId w:val="25"/>
        </w:numPr>
        <w:spacing w:after="120" w:line="276" w:lineRule="auto"/>
        <w:ind w:left="851" w:hanging="425"/>
        <w:jc w:val="both"/>
        <w:rPr>
          <w:rFonts w:cs="Times New Roman"/>
        </w:rPr>
      </w:pPr>
      <w:r>
        <w:rPr>
          <w:rFonts w:cs="Times New Roman"/>
        </w:rPr>
        <w:t>czy operacja jest objęta wnioskiem złożonym w terminie, miejscu oraz formie, o których mowa w ogłoszeniu o naborze wniosków</w:t>
      </w:r>
    </w:p>
    <w:p w14:paraId="5564A544" w14:textId="77777777" w:rsidR="008B1C66" w:rsidRDefault="00F0363E">
      <w:pPr>
        <w:numPr>
          <w:ilvl w:val="0"/>
          <w:numId w:val="25"/>
        </w:numPr>
        <w:spacing w:after="120" w:line="276" w:lineRule="auto"/>
        <w:ind w:left="851" w:hanging="425"/>
        <w:jc w:val="both"/>
        <w:rPr>
          <w:rFonts w:cs="Times New Roman"/>
        </w:rPr>
      </w:pPr>
      <w:r>
        <w:rPr>
          <w:rFonts w:cs="Times New Roman"/>
        </w:rPr>
        <w:t>spełnienie przez operację warunków przyznania pomocy w ramach wdrażania LSR, które wynikają z przepisów prawa oraz wytycznych Ministra Rolnictwa i Rozwoju Wsi, a także z Regulaminu naboru,</w:t>
      </w:r>
    </w:p>
    <w:p w14:paraId="5564A545" w14:textId="77777777" w:rsidR="008B1C66" w:rsidRDefault="00F0363E">
      <w:pPr>
        <w:numPr>
          <w:ilvl w:val="0"/>
          <w:numId w:val="25"/>
        </w:numPr>
        <w:spacing w:after="120" w:line="276" w:lineRule="auto"/>
        <w:ind w:left="851" w:hanging="425"/>
        <w:jc w:val="both"/>
        <w:rPr>
          <w:rFonts w:cs="Times New Roman"/>
        </w:rPr>
      </w:pPr>
      <w:r>
        <w:rPr>
          <w:rFonts w:cs="Times New Roman"/>
        </w:rPr>
        <w:t xml:space="preserve">kryteria wyboru wskazane w Regulaminie naboru wniosków, </w:t>
      </w:r>
      <w:bookmarkStart w:id="3" w:name="_Hlk165611956"/>
      <w:r>
        <w:rPr>
          <w:rFonts w:cs="Times New Roman"/>
        </w:rPr>
        <w:t>na podstawie czego ustala się także, czy operacja uzyskała minimalną liczbę punktów wskazaną w Regulaminie konkursu, która warunkuje wybór operacji do realizacji</w:t>
      </w:r>
      <w:bookmarkEnd w:id="3"/>
      <w:r>
        <w:rPr>
          <w:rFonts w:cs="Times New Roman"/>
        </w:rPr>
        <w:t>;</w:t>
      </w:r>
    </w:p>
    <w:p w14:paraId="5564A546" w14:textId="77777777" w:rsidR="008B1C66" w:rsidRDefault="00F0363E">
      <w:pPr>
        <w:numPr>
          <w:ilvl w:val="0"/>
          <w:numId w:val="25"/>
        </w:numPr>
        <w:spacing w:after="120" w:line="276" w:lineRule="auto"/>
        <w:ind w:left="851" w:hanging="425"/>
        <w:jc w:val="both"/>
        <w:rPr>
          <w:rFonts w:cs="Times New Roman"/>
        </w:rPr>
      </w:pPr>
      <w:r>
        <w:rPr>
          <w:rFonts w:cs="Times New Roman"/>
        </w:rPr>
        <w:t>uzasadnioną, w świetle przepisów prawa, wytycznych Ministra Rolnictwa i Rozwoju Wsi, a także Regulaminu naboru wniosków, kwotę wsparcia.</w:t>
      </w:r>
    </w:p>
    <w:p w14:paraId="5564A547" w14:textId="77777777" w:rsidR="008B1C66" w:rsidRDefault="00F0363E">
      <w:pPr>
        <w:numPr>
          <w:ilvl w:val="0"/>
          <w:numId w:val="26"/>
        </w:numPr>
        <w:spacing w:after="120" w:line="276" w:lineRule="auto"/>
        <w:ind w:left="426" w:hanging="426"/>
        <w:jc w:val="both"/>
      </w:pPr>
      <w:r>
        <w:rPr>
          <w:rFonts w:cs="Times New Roman"/>
        </w:rPr>
        <w:t>Każda operacja objęta wnioskiem złożonym w naborze poddawana jest przez Członków Rady odrębnej ocenie z punktu widzenia kwestii wymienionych w ust. 1, w kolejności określonej w tym ustępie i na podstawie informacji zawartych we wniosku oraz w dokumentach i wyjaśnieniach przedłożonych w trybie art. 21 ust. 1a i 1c ustawy o RLKS. W przypadku kryteriów wyboru wskazanych w Regulaminie naboru wniosków ocenę przeprowadza się dla każdego kryterium osobno. Ocena poprzedzona jest dyskusją na temat danego wniosku oraz analizą wyników</w:t>
      </w:r>
      <w:r>
        <w:fldChar w:fldCharType="begin"/>
      </w:r>
      <w:r>
        <w:instrText>LISTNUM</w:instrText>
      </w:r>
      <w:r>
        <w:fldChar w:fldCharType="separate"/>
      </w:r>
      <w:bookmarkStart w:id="4" w:name="Bookmark"/>
      <w:r>
        <w:fldChar w:fldCharType="end"/>
      </w:r>
      <w:bookmarkEnd w:id="4"/>
      <w:r>
        <w:rPr>
          <w:rFonts w:cs="Times New Roman"/>
        </w:rPr>
        <w:t xml:space="preserve"> oceny roboczej dokonanej przez członków Rady zgodnie z § 10 ust. 8. Jeżeli wynik głosowania, co którejś z kwestii wymienionych w ust. 1 pkt 1-3 jest negatywny, nie ma potrzeby przeprowadzania głosowania co do następnych w kolejności kwestii – operacja zostaje uznana za niewybraną do realizacji.</w:t>
      </w:r>
    </w:p>
    <w:p w14:paraId="5564A548" w14:textId="77777777" w:rsidR="008B1C66" w:rsidRDefault="00F0363E">
      <w:pPr>
        <w:numPr>
          <w:ilvl w:val="0"/>
          <w:numId w:val="26"/>
        </w:numPr>
        <w:spacing w:after="120" w:line="276" w:lineRule="auto"/>
        <w:ind w:left="426" w:hanging="426"/>
        <w:jc w:val="both"/>
        <w:rPr>
          <w:rFonts w:cs="Times New Roman"/>
        </w:rPr>
      </w:pPr>
      <w:r>
        <w:rPr>
          <w:rFonts w:cs="Times New Roman"/>
        </w:rPr>
        <w:t>Członkowie Rady w stosunku do każdej operacji objętej wnioskiem złożonym w naborze przeprowadzają głosowania co do poszczególnych kwestii wymienionych w ust. 1. Przyjmuje się, że Rada uznała, że:</w:t>
      </w:r>
    </w:p>
    <w:p w14:paraId="5564A549" w14:textId="77777777" w:rsidR="008B1C66" w:rsidRDefault="00F0363E">
      <w:pPr>
        <w:pStyle w:val="Akapitzlist"/>
        <w:numPr>
          <w:ilvl w:val="0"/>
          <w:numId w:val="44"/>
        </w:numPr>
        <w:spacing w:after="120" w:line="276" w:lineRule="auto"/>
        <w:ind w:left="850" w:hanging="425"/>
        <w:jc w:val="both"/>
        <w:rPr>
          <w:rFonts w:cs="Times New Roman"/>
        </w:rPr>
      </w:pPr>
      <w:r>
        <w:rPr>
          <w:rFonts w:cs="Times New Roman"/>
        </w:rPr>
        <w:t>operacja spełnia warunki określone w ust. 1 pkt 1 i 2 – jeżeli większość biorących udział w ocenie operacji członków Rady uzna te warunki za spełnione;</w:t>
      </w:r>
    </w:p>
    <w:p w14:paraId="5564A54A" w14:textId="77777777" w:rsidR="008B1C66" w:rsidRDefault="00F0363E">
      <w:pPr>
        <w:pStyle w:val="Akapitzlist"/>
        <w:numPr>
          <w:ilvl w:val="0"/>
          <w:numId w:val="44"/>
        </w:numPr>
        <w:spacing w:after="120" w:line="276" w:lineRule="auto"/>
        <w:ind w:left="850" w:hanging="425"/>
        <w:jc w:val="both"/>
        <w:rPr>
          <w:rFonts w:cs="Times New Roman"/>
        </w:rPr>
      </w:pPr>
      <w:r>
        <w:rPr>
          <w:rFonts w:cs="Times New Roman"/>
        </w:rPr>
        <w:t>operacja uzyskała za dane kryterium wyboru taką liczbę punktów, za jaką opowiedziała się większość biorących udział w ocenie operacji członków Rady;</w:t>
      </w:r>
    </w:p>
    <w:p w14:paraId="5564A54B" w14:textId="77777777" w:rsidR="008B1C66" w:rsidRDefault="00F0363E">
      <w:pPr>
        <w:pStyle w:val="Akapitzlist"/>
        <w:numPr>
          <w:ilvl w:val="0"/>
          <w:numId w:val="44"/>
        </w:numPr>
        <w:spacing w:after="120" w:line="276" w:lineRule="auto"/>
        <w:ind w:left="850" w:hanging="425"/>
        <w:jc w:val="both"/>
      </w:pPr>
      <w:r>
        <w:rPr>
          <w:rFonts w:cs="Times New Roman"/>
        </w:rPr>
        <w:t>uzasadniona kwota wsparcia to taka, za którą opowiedziała się większość biorących udział w ocenie członków Rady.</w:t>
      </w:r>
    </w:p>
    <w:p w14:paraId="5564A54C" w14:textId="77777777" w:rsidR="008B1C66" w:rsidRDefault="00F0363E">
      <w:pPr>
        <w:spacing w:after="120" w:line="276" w:lineRule="auto"/>
        <w:ind w:left="425"/>
        <w:jc w:val="both"/>
      </w:pPr>
      <w:r>
        <w:t xml:space="preserve">W przypadku braku uzyskania wymaganej większości w głosowaniu, przeprowadza się </w:t>
      </w:r>
      <w:r>
        <w:lastRenderedPageBreak/>
        <w:t>dodatkową dyskusję, a następnie powtarza się głosowanie, aż do uzyskania wymaganej większości. W przypadku nie uzyskania większości mimo powtórzenia głosowania ostateczną decyzję podejmuje Przewodniczący Rady.</w:t>
      </w:r>
      <w:bookmarkStart w:id="5" w:name="_Hlk165612570"/>
      <w:bookmarkEnd w:id="5"/>
    </w:p>
    <w:p w14:paraId="5564A54D" w14:textId="77777777" w:rsidR="008B1C66" w:rsidRDefault="00F0363E">
      <w:pPr>
        <w:numPr>
          <w:ilvl w:val="0"/>
          <w:numId w:val="26"/>
        </w:numPr>
        <w:spacing w:after="120" w:line="276" w:lineRule="auto"/>
        <w:ind w:left="426" w:hanging="426"/>
        <w:jc w:val="both"/>
        <w:rPr>
          <w:rFonts w:cs="Times New Roman"/>
        </w:rPr>
      </w:pPr>
      <w:r>
        <w:rPr>
          <w:rFonts w:cs="Times New Roman"/>
        </w:rPr>
        <w:t>Głosowania Rady dotyczące wyboru operacji, odbywają się poprzez wypełnienie przez Członków Rady w systemie informatycznym LGD kart oceny operacji, stanowiących załącznik do procedury przeprowadzania naborów wniosków i wyboru operacji stanowiącej odrębny dokumen</w:t>
      </w:r>
      <w:bookmarkStart w:id="6" w:name="_Hlk165524602"/>
      <w:bookmarkEnd w:id="6"/>
      <w:r>
        <w:rPr>
          <w:rFonts w:cs="Times New Roman"/>
        </w:rPr>
        <w:t xml:space="preserve">t. </w:t>
      </w:r>
    </w:p>
    <w:p w14:paraId="5564A54E" w14:textId="77777777" w:rsidR="008B1C66" w:rsidRDefault="00F0363E">
      <w:pPr>
        <w:numPr>
          <w:ilvl w:val="0"/>
          <w:numId w:val="26"/>
        </w:numPr>
        <w:spacing w:after="120" w:line="276" w:lineRule="auto"/>
        <w:ind w:left="426" w:hanging="426"/>
        <w:jc w:val="both"/>
        <w:rPr>
          <w:rFonts w:cs="Times New Roman"/>
        </w:rPr>
      </w:pPr>
      <w:r>
        <w:rPr>
          <w:rFonts w:cs="Times New Roman"/>
        </w:rPr>
        <w:t>Głos oddany przez Członka Rady w formie wypełnionej karty oceny operacji jest nieważny, jeżeli zachodzi choćby jedna z poniższych okoliczności:</w:t>
      </w:r>
    </w:p>
    <w:p w14:paraId="5564A54F" w14:textId="77777777" w:rsidR="008B1C66" w:rsidRDefault="00F0363E">
      <w:pPr>
        <w:numPr>
          <w:ilvl w:val="0"/>
          <w:numId w:val="27"/>
        </w:numPr>
        <w:spacing w:after="120" w:line="276" w:lineRule="auto"/>
        <w:ind w:left="851" w:hanging="425"/>
        <w:jc w:val="both"/>
        <w:rPr>
          <w:rFonts w:cs="Times New Roman"/>
        </w:rPr>
      </w:pPr>
      <w:r>
        <w:rPr>
          <w:rFonts w:cs="Times New Roman"/>
        </w:rPr>
        <w:t>na karcie brakuje informacji pozwalających zidentyfikować operację, której dotyczy ocena (nr wniosku, nazwy wnioskodawcy, nazwy operacji),</w:t>
      </w:r>
    </w:p>
    <w:p w14:paraId="5564A550" w14:textId="77777777" w:rsidR="008B1C66" w:rsidRDefault="00F0363E">
      <w:pPr>
        <w:numPr>
          <w:ilvl w:val="0"/>
          <w:numId w:val="27"/>
        </w:numPr>
        <w:spacing w:after="120" w:line="276" w:lineRule="auto"/>
        <w:ind w:left="851" w:hanging="425"/>
        <w:jc w:val="both"/>
        <w:rPr>
          <w:rFonts w:cs="Times New Roman"/>
        </w:rPr>
      </w:pPr>
      <w:r>
        <w:rPr>
          <w:rFonts w:cs="Times New Roman"/>
        </w:rPr>
        <w:t>na karcie zaznaczono sprzeczne informacje dotyczące oceny wniosku,</w:t>
      </w:r>
    </w:p>
    <w:p w14:paraId="5564A551" w14:textId="77777777" w:rsidR="008B1C66" w:rsidRDefault="00F0363E">
      <w:pPr>
        <w:numPr>
          <w:ilvl w:val="0"/>
          <w:numId w:val="27"/>
        </w:numPr>
        <w:spacing w:after="120" w:line="276" w:lineRule="auto"/>
        <w:ind w:left="851" w:hanging="425"/>
        <w:jc w:val="both"/>
        <w:rPr>
          <w:rFonts w:cs="Times New Roman"/>
        </w:rPr>
      </w:pPr>
      <w:r>
        <w:rPr>
          <w:rFonts w:cs="Times New Roman"/>
        </w:rPr>
        <w:t>karta nie spełnia warunków, o których mowa w ust. 4,</w:t>
      </w:r>
    </w:p>
    <w:p w14:paraId="5564A552" w14:textId="77777777" w:rsidR="008B1C66" w:rsidRDefault="00F0363E">
      <w:pPr>
        <w:numPr>
          <w:ilvl w:val="0"/>
          <w:numId w:val="27"/>
        </w:numPr>
        <w:spacing w:after="120" w:line="276" w:lineRule="auto"/>
        <w:ind w:left="851" w:hanging="425"/>
        <w:jc w:val="both"/>
        <w:rPr>
          <w:rFonts w:cs="Times New Roman"/>
        </w:rPr>
      </w:pPr>
      <w:r>
        <w:rPr>
          <w:rFonts w:cs="Times New Roman"/>
        </w:rPr>
        <w:t>na karcie nie zostały wypełnione wszystkie wymagane pola.</w:t>
      </w:r>
    </w:p>
    <w:p w14:paraId="5564A553" w14:textId="77777777" w:rsidR="008B1C66" w:rsidRDefault="00F0363E">
      <w:pPr>
        <w:numPr>
          <w:ilvl w:val="0"/>
          <w:numId w:val="26"/>
        </w:numPr>
        <w:spacing w:after="120" w:line="276" w:lineRule="auto"/>
        <w:ind w:left="426" w:hanging="426"/>
        <w:jc w:val="both"/>
        <w:rPr>
          <w:rFonts w:cs="Times New Roman"/>
        </w:rPr>
      </w:pPr>
      <w:r>
        <w:rPr>
          <w:rFonts w:cs="Times New Roman"/>
        </w:rPr>
        <w:t>W razie awarii systemu informatycznego LGD Biuro drukuje karty oceny operacji, o których mowa w ust. 4, opieczętowuje je pieczęcią LGD, a sekretarz posiedzenia je podpisuje. Członkowie Rady na posiedzeniu wypełniają tak przygotowane karty oceny ręcznie i je podpisują. W takiej sytuacji ust. 5 stosuje się odpowiednio, przy czym głos oddany przez Członka Rady jest nieważny, jeżeli dodatkowo:</w:t>
      </w:r>
    </w:p>
    <w:p w14:paraId="5564A554" w14:textId="77777777" w:rsidR="008B1C66" w:rsidRDefault="00F0363E">
      <w:pPr>
        <w:numPr>
          <w:ilvl w:val="0"/>
          <w:numId w:val="45"/>
        </w:numPr>
        <w:spacing w:after="120" w:line="276" w:lineRule="auto"/>
        <w:ind w:left="851" w:hanging="425"/>
        <w:jc w:val="both"/>
        <w:rPr>
          <w:rFonts w:cs="Times New Roman"/>
        </w:rPr>
      </w:pPr>
      <w:r>
        <w:rPr>
          <w:rFonts w:cs="Times New Roman"/>
        </w:rPr>
        <w:t>na karcie brakuje podpisu Członka Rady;</w:t>
      </w:r>
    </w:p>
    <w:p w14:paraId="5564A555" w14:textId="77777777" w:rsidR="008B1C66" w:rsidRDefault="00F0363E">
      <w:pPr>
        <w:numPr>
          <w:ilvl w:val="0"/>
          <w:numId w:val="45"/>
        </w:numPr>
        <w:spacing w:after="120" w:line="276" w:lineRule="auto"/>
        <w:ind w:left="851" w:hanging="425"/>
        <w:jc w:val="both"/>
        <w:rPr>
          <w:rFonts w:cs="Times New Roman"/>
        </w:rPr>
      </w:pPr>
      <w:r>
        <w:rPr>
          <w:rFonts w:cs="Times New Roman"/>
        </w:rPr>
        <w:t>karta nie została wypełniona piórem, długopisem lub cienkopisem.</w:t>
      </w:r>
    </w:p>
    <w:p w14:paraId="5564A556" w14:textId="77777777" w:rsidR="008B1C66" w:rsidRDefault="00F0363E">
      <w:pPr>
        <w:numPr>
          <w:ilvl w:val="0"/>
          <w:numId w:val="26"/>
        </w:numPr>
        <w:spacing w:after="120" w:line="276" w:lineRule="auto"/>
        <w:ind w:left="426" w:hanging="426"/>
        <w:jc w:val="both"/>
        <w:rPr>
          <w:rFonts w:cs="Times New Roman"/>
        </w:rPr>
      </w:pPr>
      <w:r>
        <w:rPr>
          <w:rFonts w:cs="Times New Roman"/>
        </w:rPr>
        <w:t>Jeżeli na posiedzeniu oceniane mają być operacje objęte wnioskami złożonymi w ramach więcej niż jednego naboru wniosków, ocena operacji objętych wnioskami w ramach danego naboru nie może rozpocząć się przed zakończeniem oceny wszystkich operacji objętych wnioskami złożonymi w ramach innego naboru.</w:t>
      </w:r>
    </w:p>
    <w:p w14:paraId="5564A557" w14:textId="77777777" w:rsidR="008B1C66" w:rsidRDefault="00F0363E">
      <w:pPr>
        <w:numPr>
          <w:ilvl w:val="0"/>
          <w:numId w:val="26"/>
        </w:numPr>
        <w:spacing w:after="120" w:line="276" w:lineRule="auto"/>
        <w:ind w:left="426" w:hanging="426"/>
        <w:jc w:val="both"/>
        <w:rPr>
          <w:rFonts w:cs="Times New Roman"/>
        </w:rPr>
      </w:pPr>
      <w:r>
        <w:rPr>
          <w:rFonts w:eastAsia="Times New Roman" w:cs="Times New Roman"/>
          <w:color w:val="000000"/>
        </w:rPr>
        <w:t>W ramach danego naboru wniosków stosowane są te same warunki przyznania pomocy i te same kryteria wyboru operacji w całym procesie wyboru.</w:t>
      </w:r>
    </w:p>
    <w:p w14:paraId="5564A559" w14:textId="2585966E" w:rsidR="008B1C66" w:rsidRPr="0031077F" w:rsidRDefault="00F0363E" w:rsidP="0031077F">
      <w:pPr>
        <w:numPr>
          <w:ilvl w:val="0"/>
          <w:numId w:val="26"/>
        </w:numPr>
        <w:spacing w:after="120" w:line="276" w:lineRule="auto"/>
        <w:ind w:left="426" w:hanging="426"/>
        <w:jc w:val="both"/>
        <w:rPr>
          <w:rFonts w:cs="Times New Roman"/>
        </w:rPr>
      </w:pPr>
      <w:r>
        <w:rPr>
          <w:rFonts w:cs="Times New Roman"/>
        </w:rPr>
        <w:t>Wynik dokonanej przez Radę oceny każdej operacji wymaga uzasadnienia w zakresie każdej z kwestii, o których mowa w ust. 1, przy czym wynik oceny operacji w zakresie kryteriów wyboru wymaga osobnego uzasadnienia w stosunku do każdego z kryteriów.</w:t>
      </w:r>
    </w:p>
    <w:p w14:paraId="5564A55A" w14:textId="77777777" w:rsidR="008B1C66" w:rsidRDefault="00F0363E">
      <w:pPr>
        <w:spacing w:after="120" w:line="276" w:lineRule="auto"/>
        <w:jc w:val="center"/>
        <w:rPr>
          <w:rFonts w:cs="Times New Roman"/>
          <w:b/>
        </w:rPr>
      </w:pPr>
      <w:r>
        <w:rPr>
          <w:rFonts w:cs="Times New Roman"/>
          <w:b/>
        </w:rPr>
        <w:t>§ 25</w:t>
      </w:r>
    </w:p>
    <w:p w14:paraId="5564A55C" w14:textId="72CA2AE9" w:rsidR="008B1C66" w:rsidRDefault="00F0363E">
      <w:pPr>
        <w:spacing w:after="120" w:line="276" w:lineRule="auto"/>
        <w:jc w:val="both"/>
        <w:rPr>
          <w:rFonts w:cs="Times New Roman"/>
        </w:rPr>
      </w:pPr>
      <w:r>
        <w:rPr>
          <w:rFonts w:cs="Times New Roman"/>
        </w:rPr>
        <w:t>Zasady oceny opisane w § 24 odnoszą się odpowiednio do oceny wniosków o powierzenie grantu złożonych w ramach konkursu na wybór grantobiorców w związku z realizacją przez LGD projektu grantowego, przy czym w ramach głosowania wykorzystuje się karty oceny stanowiące załącznik do procedury realizacji projektów grantowych, stanowiącej odrębny dokument.</w:t>
      </w:r>
    </w:p>
    <w:p w14:paraId="5564A55D" w14:textId="77777777" w:rsidR="008B1C66" w:rsidRDefault="008B1C66">
      <w:pPr>
        <w:spacing w:after="120" w:line="276" w:lineRule="auto"/>
        <w:jc w:val="both"/>
        <w:rPr>
          <w:rFonts w:cs="Times New Roman"/>
        </w:rPr>
      </w:pPr>
    </w:p>
    <w:p w14:paraId="5564A55E" w14:textId="77777777" w:rsidR="008B1C66" w:rsidRDefault="00F0363E">
      <w:pPr>
        <w:spacing w:after="120" w:line="276" w:lineRule="auto"/>
        <w:jc w:val="center"/>
        <w:rPr>
          <w:rFonts w:cs="Times New Roman"/>
          <w:b/>
        </w:rPr>
      </w:pPr>
      <w:r>
        <w:rPr>
          <w:rFonts w:cs="Times New Roman"/>
          <w:b/>
        </w:rPr>
        <w:t>§ 26</w:t>
      </w:r>
    </w:p>
    <w:p w14:paraId="5564A55F"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 xml:space="preserve">W stosunku do każdej operacji będącej przedmiotem oceny podejmowana jest przez Radę decyzja w formie uchwały dotycząca wyboru operacji oraz ustalenia kwoty wsparcia, która </w:t>
      </w:r>
      <w:r>
        <w:rPr>
          <w:rFonts w:cs="Times New Roman"/>
        </w:rPr>
        <w:lastRenderedPageBreak/>
        <w:t>stanowi podsumowanie oceny dokonanej przez Członków Rady i której treść musi uwzględniać:</w:t>
      </w:r>
    </w:p>
    <w:p w14:paraId="5564A560" w14:textId="77777777" w:rsidR="008B1C66" w:rsidRDefault="00F0363E">
      <w:pPr>
        <w:numPr>
          <w:ilvl w:val="0"/>
          <w:numId w:val="34"/>
        </w:numPr>
        <w:spacing w:after="120" w:line="276" w:lineRule="auto"/>
        <w:ind w:left="851" w:hanging="425"/>
        <w:jc w:val="both"/>
        <w:rPr>
          <w:rFonts w:cs="Times New Roman"/>
        </w:rPr>
      </w:pPr>
      <w:r>
        <w:rPr>
          <w:rFonts w:cs="Times New Roman"/>
        </w:rPr>
        <w:t>informację, czy operacja jest objęta wnioskiem o wsparcie złożonymi w terminie, miejscu oraz formie, o których mowa w ogłoszeniu o naborze wniosków;</w:t>
      </w:r>
    </w:p>
    <w:p w14:paraId="5564A561" w14:textId="77777777" w:rsidR="008B1C66" w:rsidRDefault="00F0363E">
      <w:pPr>
        <w:numPr>
          <w:ilvl w:val="0"/>
          <w:numId w:val="34"/>
        </w:numPr>
        <w:spacing w:after="120" w:line="276" w:lineRule="auto"/>
        <w:ind w:left="851" w:hanging="425"/>
        <w:jc w:val="both"/>
        <w:rPr>
          <w:rFonts w:cs="Times New Roman"/>
        </w:rPr>
      </w:pPr>
      <w:r>
        <w:rPr>
          <w:rFonts w:cs="Times New Roman"/>
        </w:rPr>
        <w:t>ocenę spełniania przez operację warunków przyznania pomocy;</w:t>
      </w:r>
    </w:p>
    <w:p w14:paraId="5564A562" w14:textId="77777777" w:rsidR="008B1C66" w:rsidRDefault="00F0363E">
      <w:pPr>
        <w:numPr>
          <w:ilvl w:val="0"/>
          <w:numId w:val="34"/>
        </w:numPr>
        <w:spacing w:after="120" w:line="276" w:lineRule="auto"/>
        <w:ind w:left="851" w:hanging="425"/>
        <w:jc w:val="both"/>
        <w:rPr>
          <w:rFonts w:cs="Times New Roman"/>
        </w:rPr>
      </w:pPr>
      <w:r>
        <w:rPr>
          <w:rFonts w:cs="Times New Roman"/>
        </w:rPr>
        <w:t>liczbę punktów uzyskaną przez operację w wyniku oceny na podstawie poszczególnych kryteriów wyboru oraz łączną liczbę punktów uzyskaną w wyniku takiej oceny oraz uzasadnienie dla przyznanej liczby punktów w odniesieniu do każdego kryterium wyboru operacji;</w:t>
      </w:r>
    </w:p>
    <w:p w14:paraId="5564A563" w14:textId="77777777" w:rsidR="008B1C66" w:rsidRDefault="00F0363E">
      <w:pPr>
        <w:numPr>
          <w:ilvl w:val="0"/>
          <w:numId w:val="34"/>
        </w:numPr>
        <w:spacing w:after="120" w:line="276" w:lineRule="auto"/>
        <w:ind w:left="851" w:hanging="425"/>
        <w:jc w:val="both"/>
        <w:rPr>
          <w:rFonts w:cs="Times New Roman"/>
        </w:rPr>
      </w:pPr>
      <w:r>
        <w:rPr>
          <w:rFonts w:cs="Times New Roman"/>
        </w:rPr>
        <w:t>informację, czy operacja została wybrana do realizacji przez Radę;</w:t>
      </w:r>
    </w:p>
    <w:p w14:paraId="5564A564" w14:textId="77777777" w:rsidR="008B1C66" w:rsidRDefault="00F0363E">
      <w:pPr>
        <w:numPr>
          <w:ilvl w:val="0"/>
          <w:numId w:val="34"/>
        </w:numPr>
        <w:spacing w:after="120" w:line="276" w:lineRule="auto"/>
        <w:ind w:left="851" w:hanging="425"/>
        <w:jc w:val="both"/>
        <w:rPr>
          <w:rFonts w:cs="Times New Roman"/>
        </w:rPr>
      </w:pPr>
      <w:r>
        <w:rPr>
          <w:rFonts w:cs="Times New Roman"/>
        </w:rPr>
        <w:t>kwotę wsparcia ustaloną przez Radę dla operacji;</w:t>
      </w:r>
    </w:p>
    <w:p w14:paraId="5564A565" w14:textId="77777777" w:rsidR="008B1C66" w:rsidRDefault="00F0363E">
      <w:pPr>
        <w:numPr>
          <w:ilvl w:val="0"/>
          <w:numId w:val="34"/>
        </w:numPr>
        <w:spacing w:after="120" w:line="276" w:lineRule="auto"/>
        <w:ind w:left="851" w:hanging="425"/>
        <w:jc w:val="both"/>
        <w:rPr>
          <w:rFonts w:cs="Times New Roman"/>
        </w:rPr>
      </w:pPr>
      <w:r>
        <w:rPr>
          <w:rFonts w:cs="Times New Roman"/>
        </w:rPr>
        <w:t>informację, czy w operacja mieści się w limicie środków w ramach danego naboru wniosków, który został wskazany w Regulaminie konkursu.</w:t>
      </w:r>
    </w:p>
    <w:p w14:paraId="5564A566"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Każda uchwała, o której mowa w ust. 1, musi ponadto zawierać:</w:t>
      </w:r>
    </w:p>
    <w:p w14:paraId="5564A567" w14:textId="77777777" w:rsidR="008B1C66" w:rsidRDefault="00F0363E">
      <w:pPr>
        <w:numPr>
          <w:ilvl w:val="0"/>
          <w:numId w:val="35"/>
        </w:numPr>
        <w:spacing w:after="120" w:line="276" w:lineRule="auto"/>
        <w:ind w:left="851" w:hanging="425"/>
        <w:jc w:val="both"/>
        <w:rPr>
          <w:rFonts w:cs="Times New Roman"/>
        </w:rPr>
      </w:pPr>
      <w:r>
        <w:rPr>
          <w:rFonts w:cs="Times New Roman"/>
        </w:rPr>
        <w:t>informację o naborze, w ramach którego została dokonana ocena operacji, poprzez wskazanie jego numeru;</w:t>
      </w:r>
    </w:p>
    <w:p w14:paraId="5564A568" w14:textId="77777777" w:rsidR="008B1C66" w:rsidRDefault="00F0363E">
      <w:pPr>
        <w:numPr>
          <w:ilvl w:val="0"/>
          <w:numId w:val="35"/>
        </w:numPr>
        <w:spacing w:after="120" w:line="276" w:lineRule="auto"/>
        <w:ind w:left="851" w:hanging="425"/>
        <w:jc w:val="both"/>
        <w:rPr>
          <w:rFonts w:cs="Times New Roman"/>
        </w:rPr>
      </w:pPr>
      <w:r>
        <w:rPr>
          <w:rFonts w:cs="Times New Roman"/>
        </w:rPr>
        <w:t>datę podjęcia uchwały i jej numer;</w:t>
      </w:r>
    </w:p>
    <w:p w14:paraId="5564A569" w14:textId="77777777" w:rsidR="008B1C66" w:rsidRDefault="00F0363E">
      <w:pPr>
        <w:numPr>
          <w:ilvl w:val="0"/>
          <w:numId w:val="35"/>
        </w:numPr>
        <w:spacing w:after="120" w:line="276" w:lineRule="auto"/>
        <w:ind w:left="851" w:hanging="425"/>
        <w:jc w:val="both"/>
        <w:rPr>
          <w:rFonts w:cs="Times New Roman"/>
        </w:rPr>
      </w:pPr>
      <w:r>
        <w:rPr>
          <w:rFonts w:cs="Times New Roman"/>
        </w:rPr>
        <w:t>informacje o wnioskodawcy operacji (imię i nazwisko lub nazwę, miejsce zamieszkania lub siedzibę miejsce działalności, adres lub siedzibę, PESEL</w:t>
      </w:r>
      <w:r>
        <w:rPr>
          <w:rFonts w:cs="Times New Roman"/>
          <w:color w:val="FF0000"/>
        </w:rPr>
        <w:t>/</w:t>
      </w:r>
      <w:r>
        <w:rPr>
          <w:rFonts w:cs="Times New Roman"/>
        </w:rPr>
        <w:t>NIP oraz numer identyfikacyjny producenta);</w:t>
      </w:r>
    </w:p>
    <w:p w14:paraId="5564A56A" w14:textId="77777777" w:rsidR="008B1C66" w:rsidRDefault="00F0363E">
      <w:pPr>
        <w:numPr>
          <w:ilvl w:val="0"/>
          <w:numId w:val="35"/>
        </w:numPr>
        <w:spacing w:after="120" w:line="276" w:lineRule="auto"/>
        <w:ind w:left="851" w:hanging="425"/>
        <w:jc w:val="both"/>
        <w:rPr>
          <w:rFonts w:cs="Times New Roman"/>
        </w:rPr>
      </w:pPr>
      <w:r>
        <w:rPr>
          <w:rFonts w:cs="Times New Roman"/>
        </w:rPr>
        <w:t>nadany przez LGD numer wniosku oraz tytuł operacji zgodny z tytułem podanym we wniosku;</w:t>
      </w:r>
    </w:p>
    <w:p w14:paraId="5564A56B" w14:textId="77777777" w:rsidR="008B1C66" w:rsidRDefault="00F0363E">
      <w:pPr>
        <w:numPr>
          <w:ilvl w:val="0"/>
          <w:numId w:val="35"/>
        </w:numPr>
        <w:spacing w:after="120" w:line="276" w:lineRule="auto"/>
        <w:ind w:left="851" w:hanging="425"/>
        <w:jc w:val="both"/>
        <w:rPr>
          <w:rFonts w:cs="Times New Roman"/>
        </w:rPr>
      </w:pPr>
      <w:r>
        <w:rPr>
          <w:rFonts w:cs="Times New Roman"/>
        </w:rPr>
        <w:t>kwotę wsparcia o jaką ubiegał się wnioskodawca, zgodną z kwotą podaną we wniosku.</w:t>
      </w:r>
    </w:p>
    <w:p w14:paraId="5564A56C"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 xml:space="preserve">Wzór uchwały Rady w sprawie wyboru operacji oraz ustaleniu kwoty wsparcia stanowi </w:t>
      </w:r>
      <w:r>
        <w:rPr>
          <w:rFonts w:cs="Times New Roman"/>
          <w:b/>
        </w:rPr>
        <w:t>załącznik do procedury wyboru i oceny operacji/ grantu</w:t>
      </w:r>
      <w:r>
        <w:rPr>
          <w:rFonts w:cs="Times New Roman"/>
        </w:rPr>
        <w:t>.</w:t>
      </w:r>
    </w:p>
    <w:p w14:paraId="5564A56D"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Postanowienia ust. 1-3 stosuje się odpowiednio do uchwał dotyczących oceny wniosków o powierzenie grantu.</w:t>
      </w:r>
    </w:p>
    <w:p w14:paraId="5564A56E"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Uchwały w innych sprawach niż określone w ust. 1 i 4 zawierać powinny co najmniej datę podjęcia uchwały i jej numer, a także przedmiot uchwały, tj. rozstrzygnięcie lub stanowisko Rady w określonej kwestii należącej do kompetencji tego organu.</w:t>
      </w:r>
    </w:p>
    <w:p w14:paraId="5564A56F"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W wyniku dokonanej oceny wniosków złożonych w ramach naboru Przewodniczący Rady sporządza:</w:t>
      </w:r>
    </w:p>
    <w:p w14:paraId="5564A570" w14:textId="77777777" w:rsidR="008B1C66" w:rsidRDefault="00F0363E">
      <w:pPr>
        <w:pStyle w:val="Akapitzlist"/>
        <w:numPr>
          <w:ilvl w:val="0"/>
          <w:numId w:val="43"/>
        </w:numPr>
        <w:spacing w:after="120" w:line="276" w:lineRule="auto"/>
        <w:ind w:left="851" w:hanging="425"/>
        <w:jc w:val="both"/>
      </w:pPr>
      <w:r>
        <w:rPr>
          <w:rFonts w:cs="Times New Roman"/>
        </w:rPr>
        <w:t>listę wniosków spełniających warunki przyznania pomocy;</w:t>
      </w:r>
    </w:p>
    <w:p w14:paraId="5564A571" w14:textId="77777777" w:rsidR="008B1C66" w:rsidRDefault="00F0363E">
      <w:pPr>
        <w:pStyle w:val="Akapitzlist"/>
        <w:numPr>
          <w:ilvl w:val="0"/>
          <w:numId w:val="43"/>
        </w:numPr>
        <w:spacing w:after="120" w:line="276" w:lineRule="auto"/>
        <w:ind w:left="851" w:hanging="425"/>
        <w:jc w:val="both"/>
      </w:pPr>
      <w:r>
        <w:rPr>
          <w:rFonts w:cs="Times New Roman"/>
        </w:rPr>
        <w:t xml:space="preserve">listę wniosków nie spełniających warunków przyznania pomocy; </w:t>
      </w:r>
    </w:p>
    <w:p w14:paraId="5564A572" w14:textId="77777777" w:rsidR="008B1C66" w:rsidRDefault="00F0363E">
      <w:pPr>
        <w:pStyle w:val="Akapitzlist"/>
        <w:numPr>
          <w:ilvl w:val="0"/>
          <w:numId w:val="43"/>
        </w:numPr>
        <w:spacing w:after="120" w:line="276" w:lineRule="auto"/>
        <w:ind w:left="851" w:hanging="425"/>
        <w:jc w:val="both"/>
      </w:pPr>
      <w:r>
        <w:rPr>
          <w:rFonts w:cs="Times New Roman"/>
        </w:rPr>
        <w:t>listę wniosków wybranych, ze wskazaniem, które z operacji mieszczą się w limicie środków w ramach danego naboru wniosków, który został wskazany w Regulaminie konkursu.</w:t>
      </w:r>
    </w:p>
    <w:p w14:paraId="5564A573"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Listy, o których mowa w ust. 6, wraz z całą dokumentacją z posiedzenia są przekazywane przez Przewodniczącego Rady do Biura niezwłocznie po zakończeniu posiedzenia.</w:t>
      </w:r>
    </w:p>
    <w:p w14:paraId="5564A574" w14:textId="77777777" w:rsidR="008B1C66" w:rsidRDefault="00F0363E">
      <w:pPr>
        <w:numPr>
          <w:ilvl w:val="0"/>
          <w:numId w:val="33"/>
        </w:numPr>
        <w:tabs>
          <w:tab w:val="clear" w:pos="720"/>
        </w:tabs>
        <w:spacing w:after="120" w:line="276" w:lineRule="auto"/>
        <w:ind w:left="426" w:hanging="426"/>
        <w:jc w:val="both"/>
        <w:rPr>
          <w:rFonts w:cs="Times New Roman"/>
        </w:rPr>
      </w:pPr>
      <w:r>
        <w:rPr>
          <w:rFonts w:cs="Times New Roman"/>
        </w:rPr>
        <w:t xml:space="preserve">W przypadku, gdy dwie lub więcej operacji w ramach danego naboru uzyskało taką samą liczbę </w:t>
      </w:r>
      <w:r>
        <w:rPr>
          <w:rFonts w:cs="Times New Roman"/>
        </w:rPr>
        <w:lastRenderedPageBreak/>
        <w:t xml:space="preserve">punktów, wyższe miejsce na liście, o której mowa w ust. 6 pkt 2, zajmuje ta operacja, która jest objęta wnioskiem z niższą kwotą dofinansowania. W przypadku gdy dwa lub więcej wniosków ma taką samą wartość dofinansowania wyższe miejsce na liście otrzymuje wniosek, który otrzymał więcej punktów w kryterium dotyczącym promocji. Kolejno będą brane pod uwagę kryteria związane z posiadanym doświadczeniem w ramach Celu 1 i 3 oraz innowacyjności w ramach celu 2. </w:t>
      </w:r>
    </w:p>
    <w:p w14:paraId="5564A576" w14:textId="33549A7A" w:rsidR="008B1C66" w:rsidRPr="0031077F" w:rsidRDefault="00F0363E" w:rsidP="0031077F">
      <w:pPr>
        <w:numPr>
          <w:ilvl w:val="0"/>
          <w:numId w:val="33"/>
        </w:numPr>
        <w:tabs>
          <w:tab w:val="clear" w:pos="720"/>
        </w:tabs>
        <w:spacing w:after="120" w:line="276" w:lineRule="auto"/>
        <w:ind w:left="426" w:hanging="426"/>
        <w:jc w:val="both"/>
        <w:rPr>
          <w:rFonts w:cs="Times New Roman"/>
        </w:rPr>
      </w:pPr>
      <w:r>
        <w:rPr>
          <w:rFonts w:cs="Times New Roman"/>
        </w:rPr>
        <w:t>W przypadku projektów grantowych ust. 6-8 stosuje się odpowiednio.</w:t>
      </w:r>
    </w:p>
    <w:p w14:paraId="5564A577" w14:textId="77777777" w:rsidR="008B1C66" w:rsidRDefault="008B1C66">
      <w:pPr>
        <w:spacing w:line="276" w:lineRule="auto"/>
        <w:jc w:val="both"/>
        <w:rPr>
          <w:rFonts w:cs="Times New Roman"/>
        </w:rPr>
      </w:pPr>
    </w:p>
    <w:p w14:paraId="5564A578" w14:textId="77777777" w:rsidR="008B1C66" w:rsidRDefault="00F0363E">
      <w:pPr>
        <w:spacing w:after="120" w:line="276" w:lineRule="auto"/>
        <w:jc w:val="center"/>
        <w:rPr>
          <w:rFonts w:cs="Times New Roman"/>
          <w:b/>
          <w:bCs/>
        </w:rPr>
      </w:pPr>
      <w:r>
        <w:rPr>
          <w:rFonts w:cs="Times New Roman"/>
          <w:b/>
          <w:bCs/>
        </w:rPr>
        <w:t>ROZDZIAŁ VIII</w:t>
      </w:r>
    </w:p>
    <w:p w14:paraId="5564A579" w14:textId="77777777" w:rsidR="008B1C66" w:rsidRDefault="00F0363E">
      <w:pPr>
        <w:spacing w:after="120" w:line="276" w:lineRule="auto"/>
        <w:jc w:val="center"/>
        <w:rPr>
          <w:rFonts w:cs="Times New Roman"/>
        </w:rPr>
      </w:pPr>
      <w:r>
        <w:rPr>
          <w:rFonts w:cs="Times New Roman"/>
          <w:b/>
        </w:rPr>
        <w:t>Operacje własne LGD</w:t>
      </w:r>
    </w:p>
    <w:p w14:paraId="5564A57A" w14:textId="77777777" w:rsidR="008B1C66" w:rsidRDefault="00F0363E">
      <w:pPr>
        <w:spacing w:after="120" w:line="276" w:lineRule="auto"/>
        <w:jc w:val="center"/>
        <w:rPr>
          <w:rFonts w:cs="Times New Roman"/>
          <w:b/>
        </w:rPr>
      </w:pPr>
      <w:r>
        <w:rPr>
          <w:rFonts w:cs="Times New Roman"/>
          <w:b/>
        </w:rPr>
        <w:t>§ 27</w:t>
      </w:r>
    </w:p>
    <w:p w14:paraId="5564A57B" w14:textId="77777777" w:rsidR="008B1C66" w:rsidRDefault="00F0363E">
      <w:pPr>
        <w:spacing w:after="120" w:line="276" w:lineRule="auto"/>
        <w:jc w:val="both"/>
        <w:rPr>
          <w:rFonts w:cs="Times New Roman"/>
        </w:rPr>
      </w:pPr>
      <w:r>
        <w:rPr>
          <w:rFonts w:cs="Times New Roman"/>
        </w:rPr>
        <w:t>Ocena operacji własnej LGD objętej wnioskiem złożonym przez Zarząd w ramach naboru wniosków, odbywa się na zasadach ogólnych, z tym, że:</w:t>
      </w:r>
    </w:p>
    <w:p w14:paraId="5564A57C" w14:textId="77777777" w:rsidR="008B1C66" w:rsidRDefault="00F0363E">
      <w:pPr>
        <w:pStyle w:val="Akapitzlist"/>
        <w:numPr>
          <w:ilvl w:val="1"/>
          <w:numId w:val="39"/>
        </w:numPr>
        <w:spacing w:after="120" w:line="276" w:lineRule="auto"/>
        <w:ind w:left="567" w:hanging="414"/>
        <w:jc w:val="both"/>
        <w:rPr>
          <w:rFonts w:cs="Times New Roman"/>
        </w:rPr>
      </w:pPr>
      <w:r>
        <w:rPr>
          <w:rFonts w:cs="Times New Roman"/>
        </w:rPr>
        <w:t>wyłączenie członków Rady z oceny operacji własnej LGD następuje w sytuacji, o której mowa w § 15 ust. 10;</w:t>
      </w:r>
    </w:p>
    <w:p w14:paraId="5564A57D" w14:textId="77777777" w:rsidR="008B1C66" w:rsidRDefault="00F0363E">
      <w:pPr>
        <w:pStyle w:val="Akapitzlist"/>
        <w:numPr>
          <w:ilvl w:val="1"/>
          <w:numId w:val="39"/>
        </w:numPr>
        <w:spacing w:after="120" w:line="276" w:lineRule="auto"/>
        <w:ind w:left="567" w:hanging="414"/>
        <w:jc w:val="both"/>
        <w:rPr>
          <w:rFonts w:cs="Times New Roman"/>
        </w:rPr>
      </w:pPr>
      <w:r>
        <w:rPr>
          <w:rFonts w:cs="Times New Roman"/>
        </w:rPr>
        <w:t xml:space="preserve">złożony przez Zarząd w naborze wniosek dotyczący operacji własnej LGD nie podlega procedurze składania wyjaśnień lub dokumentów, o której mowa w art. 21 ust. 1a i 1c ustawy o RLKS, a członkowie Zarządu lub pracownicy Biura, ani inne osoby uczestniczące </w:t>
      </w:r>
      <w:r>
        <w:rPr>
          <w:rFonts w:cs="Times New Roman"/>
        </w:rPr>
        <w:br/>
        <w:t>w posiedzeniu Zarządu nie mogą przedstawiać na posiedzeniu Rady żadnych wyjaśnień lub dokumentów wpływających na ocenę operacji własnej LGD przez Radę. Wniosek ten nie może być sprawdzany pod względem formalnym przez pracowników biura.</w:t>
      </w:r>
    </w:p>
    <w:p w14:paraId="5564A57F" w14:textId="1E0938C1" w:rsidR="008B1C66" w:rsidRPr="00DC2405" w:rsidRDefault="00F0363E" w:rsidP="00DC2405">
      <w:pPr>
        <w:pStyle w:val="Akapitzlist"/>
        <w:numPr>
          <w:ilvl w:val="1"/>
          <w:numId w:val="39"/>
        </w:numPr>
        <w:spacing w:after="120" w:line="276" w:lineRule="auto"/>
        <w:ind w:left="567" w:hanging="414"/>
        <w:jc w:val="both"/>
        <w:rPr>
          <w:rFonts w:cs="Times New Roman"/>
        </w:rPr>
      </w:pPr>
      <w:r>
        <w:rPr>
          <w:rFonts w:cs="Times New Roman"/>
        </w:rPr>
        <w:t>Rada w ramach oceny wniosku dotyczącego operacji własnej LGD powinna zbadać, czy spełnione są warunki określone w cz. IV.3.3. pkt 9 Wytycznych szczegółowych.</w:t>
      </w:r>
    </w:p>
    <w:p w14:paraId="5564A580" w14:textId="77777777" w:rsidR="008B1C66" w:rsidRDefault="008B1C66">
      <w:pPr>
        <w:spacing w:line="276" w:lineRule="auto"/>
        <w:jc w:val="both"/>
        <w:rPr>
          <w:rFonts w:cs="Times New Roman"/>
        </w:rPr>
      </w:pPr>
    </w:p>
    <w:p w14:paraId="5564A581" w14:textId="77777777" w:rsidR="008B1C66" w:rsidRDefault="00F0363E">
      <w:pPr>
        <w:spacing w:after="120" w:line="276" w:lineRule="auto"/>
        <w:jc w:val="center"/>
        <w:rPr>
          <w:rFonts w:cs="Times New Roman"/>
          <w:b/>
          <w:bCs/>
        </w:rPr>
      </w:pPr>
      <w:r>
        <w:rPr>
          <w:rFonts w:cs="Times New Roman"/>
          <w:b/>
          <w:bCs/>
        </w:rPr>
        <w:t>ROZDZIAŁ IX</w:t>
      </w:r>
    </w:p>
    <w:p w14:paraId="5564A582" w14:textId="77777777" w:rsidR="008B1C66" w:rsidRDefault="00F0363E">
      <w:pPr>
        <w:spacing w:after="120" w:line="276" w:lineRule="auto"/>
        <w:jc w:val="center"/>
        <w:rPr>
          <w:rFonts w:cs="Times New Roman"/>
          <w:b/>
        </w:rPr>
      </w:pPr>
      <w:r>
        <w:rPr>
          <w:rFonts w:cs="Times New Roman"/>
          <w:b/>
        </w:rPr>
        <w:t>Dokumentacja z posiedzeń Rady</w:t>
      </w:r>
    </w:p>
    <w:p w14:paraId="5564A583" w14:textId="77777777" w:rsidR="008B1C66" w:rsidRDefault="008B1C66">
      <w:pPr>
        <w:spacing w:line="276" w:lineRule="auto"/>
        <w:jc w:val="both"/>
        <w:rPr>
          <w:rFonts w:cs="Times New Roman"/>
        </w:rPr>
      </w:pPr>
    </w:p>
    <w:p w14:paraId="5564A584" w14:textId="77777777" w:rsidR="008B1C66" w:rsidRDefault="00F0363E">
      <w:pPr>
        <w:spacing w:after="120" w:line="276" w:lineRule="auto"/>
        <w:jc w:val="center"/>
        <w:rPr>
          <w:rFonts w:cs="Times New Roman"/>
          <w:b/>
        </w:rPr>
      </w:pPr>
      <w:r>
        <w:rPr>
          <w:rFonts w:cs="Times New Roman"/>
          <w:b/>
        </w:rPr>
        <w:t>§ 28</w:t>
      </w:r>
    </w:p>
    <w:p w14:paraId="5564A585" w14:textId="77777777" w:rsidR="008B1C66" w:rsidRDefault="00F0363E">
      <w:pPr>
        <w:numPr>
          <w:ilvl w:val="0"/>
          <w:numId w:val="12"/>
        </w:numPr>
        <w:tabs>
          <w:tab w:val="clear" w:pos="720"/>
        </w:tabs>
        <w:spacing w:after="120" w:line="276" w:lineRule="auto"/>
        <w:ind w:left="426" w:hanging="426"/>
        <w:jc w:val="both"/>
        <w:rPr>
          <w:rFonts w:cs="Times New Roman"/>
        </w:rPr>
      </w:pPr>
      <w:r>
        <w:rPr>
          <w:rFonts w:cs="Times New Roman"/>
        </w:rPr>
        <w:t>W trakcie posiedzenia Rady sporz</w:t>
      </w:r>
      <w:r>
        <w:rPr>
          <w:rFonts w:eastAsia="Times New Roman" w:cs="Times New Roman"/>
        </w:rPr>
        <w:t>ą</w:t>
      </w:r>
      <w:r>
        <w:rPr>
          <w:rFonts w:cs="Times New Roman"/>
        </w:rPr>
        <w:t>dzany jest protokół.</w:t>
      </w:r>
    </w:p>
    <w:p w14:paraId="5564A586" w14:textId="77777777" w:rsidR="008B1C66" w:rsidRDefault="00F0363E">
      <w:pPr>
        <w:numPr>
          <w:ilvl w:val="0"/>
          <w:numId w:val="12"/>
        </w:numPr>
        <w:tabs>
          <w:tab w:val="clear" w:pos="720"/>
        </w:tabs>
        <w:spacing w:after="120" w:line="276" w:lineRule="auto"/>
        <w:ind w:left="426" w:hanging="426"/>
        <w:jc w:val="both"/>
        <w:rPr>
          <w:rFonts w:cs="Times New Roman"/>
        </w:rPr>
      </w:pPr>
      <w:r>
        <w:rPr>
          <w:rFonts w:cs="Times New Roman"/>
        </w:rPr>
        <w:t>Lista obecności, o której mowa w § 13 ust. 1, lub dokumenty potwierdzające obecność na posiedzeniu zdalnym, o których mowa w § 19 ust. 5, stanowią</w:t>
      </w:r>
      <w:r>
        <w:rPr>
          <w:rFonts w:eastAsia="Times New Roman" w:cs="Times New Roman"/>
        </w:rPr>
        <w:t xml:space="preserve"> </w:t>
      </w:r>
      <w:r>
        <w:rPr>
          <w:rFonts w:cs="Times New Roman"/>
        </w:rPr>
        <w:t>zał</w:t>
      </w:r>
      <w:r>
        <w:rPr>
          <w:rFonts w:eastAsia="Times New Roman" w:cs="Times New Roman"/>
        </w:rPr>
        <w:t>ą</w:t>
      </w:r>
      <w:r>
        <w:rPr>
          <w:rFonts w:cs="Times New Roman"/>
        </w:rPr>
        <w:t>cznik do protokołu.</w:t>
      </w:r>
    </w:p>
    <w:p w14:paraId="5564A587" w14:textId="77777777" w:rsidR="008B1C66" w:rsidRDefault="00F0363E">
      <w:pPr>
        <w:numPr>
          <w:ilvl w:val="0"/>
          <w:numId w:val="12"/>
        </w:numPr>
        <w:tabs>
          <w:tab w:val="clear" w:pos="720"/>
        </w:tabs>
        <w:spacing w:after="120" w:line="276" w:lineRule="auto"/>
        <w:ind w:left="426" w:hanging="426"/>
        <w:jc w:val="both"/>
        <w:rPr>
          <w:rFonts w:cs="Times New Roman"/>
        </w:rPr>
      </w:pPr>
      <w:r>
        <w:rPr>
          <w:rFonts w:cs="Times New Roman"/>
        </w:rPr>
        <w:t>Protokół z posiedzenia Rady powinien zawiera</w:t>
      </w:r>
      <w:r>
        <w:rPr>
          <w:rFonts w:eastAsia="Times New Roman" w:cs="Times New Roman"/>
        </w:rPr>
        <w:t xml:space="preserve">ć </w:t>
      </w:r>
      <w:r>
        <w:rPr>
          <w:rFonts w:cs="Times New Roman"/>
        </w:rPr>
        <w:t>w szczególno</w:t>
      </w:r>
      <w:r>
        <w:rPr>
          <w:rFonts w:eastAsia="Times New Roman" w:cs="Times New Roman"/>
        </w:rPr>
        <w:t>ś</w:t>
      </w:r>
      <w:r>
        <w:rPr>
          <w:rFonts w:cs="Times New Roman"/>
        </w:rPr>
        <w:t>ci:</w:t>
      </w:r>
    </w:p>
    <w:p w14:paraId="5564A588" w14:textId="77777777" w:rsidR="008B1C66" w:rsidRDefault="00F0363E">
      <w:pPr>
        <w:numPr>
          <w:ilvl w:val="0"/>
          <w:numId w:val="36"/>
        </w:numPr>
        <w:spacing w:after="120" w:line="276" w:lineRule="auto"/>
        <w:ind w:left="851" w:hanging="425"/>
        <w:jc w:val="both"/>
        <w:rPr>
          <w:rFonts w:cs="Times New Roman"/>
        </w:rPr>
      </w:pPr>
      <w:r>
        <w:rPr>
          <w:rFonts w:cs="Times New Roman"/>
        </w:rPr>
        <w:t>określenie przedmiotu posiedzenia, a jeżeli posiedzenie odbywało się w formie zdalnej – wzmiankę o tym fakcie;</w:t>
      </w:r>
    </w:p>
    <w:p w14:paraId="5564A589" w14:textId="77777777" w:rsidR="008B1C66" w:rsidRDefault="00F0363E">
      <w:pPr>
        <w:numPr>
          <w:ilvl w:val="0"/>
          <w:numId w:val="36"/>
        </w:numPr>
        <w:spacing w:after="120" w:line="276" w:lineRule="auto"/>
        <w:ind w:left="851" w:hanging="425"/>
        <w:jc w:val="both"/>
        <w:rPr>
          <w:rFonts w:cs="Times New Roman"/>
        </w:rPr>
      </w:pPr>
      <w:r>
        <w:rPr>
          <w:rFonts w:cs="Times New Roman"/>
        </w:rPr>
        <w:t>informację o tym, kto przewodniczył posiedzeniu i kto wykonywał zadania sekretarza posiedzenia;</w:t>
      </w:r>
    </w:p>
    <w:p w14:paraId="5564A58A" w14:textId="77777777" w:rsidR="008B1C66" w:rsidRDefault="00F0363E">
      <w:pPr>
        <w:numPr>
          <w:ilvl w:val="0"/>
          <w:numId w:val="36"/>
        </w:numPr>
        <w:spacing w:after="120" w:line="276" w:lineRule="auto"/>
        <w:ind w:left="851" w:hanging="425"/>
        <w:jc w:val="both"/>
        <w:rPr>
          <w:rFonts w:cs="Times New Roman"/>
        </w:rPr>
      </w:pPr>
      <w:r>
        <w:rPr>
          <w:rFonts w:cs="Times New Roman"/>
        </w:rPr>
        <w:t>informację o liczbie obecnych Członków Rady na posiedzeniu, informację o zmianie liczby Członków Rady uczestniczących w posiedzeniu (odnotowanie faktu wyjścia i przyjścia), a także wzmiankę o ewentualnej obecności na posiedzeniu pracowników Biura lub członków Zarządu;</w:t>
      </w:r>
    </w:p>
    <w:p w14:paraId="5564A58B" w14:textId="77777777" w:rsidR="008B1C66" w:rsidRDefault="00F0363E">
      <w:pPr>
        <w:numPr>
          <w:ilvl w:val="0"/>
          <w:numId w:val="36"/>
        </w:numPr>
        <w:spacing w:after="120" w:line="276" w:lineRule="auto"/>
        <w:ind w:left="851" w:hanging="425"/>
        <w:jc w:val="both"/>
        <w:rPr>
          <w:rFonts w:cs="Times New Roman"/>
        </w:rPr>
      </w:pPr>
      <w:r>
        <w:rPr>
          <w:rFonts w:cs="Times New Roman"/>
        </w:rPr>
        <w:lastRenderedPageBreak/>
        <w:t>informacje o wyłączeniu Członków Rady z poszczególnych głosowań wraz ze wskazaniem przyczyny wyłączenia oraz wniosku, którego dotyczyło wyłączenie, oraz wzmiankę, czy w związku z wyłączeniem z oceny Członek Rady opuścił posiedzenie na czas wykonywania czynności, z których podlegał wyłączeniu</w:t>
      </w:r>
    </w:p>
    <w:p w14:paraId="5564A58C" w14:textId="77777777" w:rsidR="008B1C66" w:rsidRDefault="00F0363E">
      <w:pPr>
        <w:numPr>
          <w:ilvl w:val="0"/>
          <w:numId w:val="36"/>
        </w:numPr>
        <w:spacing w:after="120" w:line="276" w:lineRule="auto"/>
        <w:ind w:left="851" w:hanging="425"/>
        <w:jc w:val="both"/>
        <w:rPr>
          <w:rFonts w:cs="Times New Roman"/>
        </w:rPr>
      </w:pPr>
      <w:r>
        <w:rPr>
          <w:rFonts w:cs="Times New Roman"/>
        </w:rPr>
        <w:t>odnośnie do każdego głosowania – określenie liczby uprawnionych do głosowania, liczby biorących udział w głosowaniu, liczby oddanych głosów ważnych i nieważnych;</w:t>
      </w:r>
    </w:p>
    <w:p w14:paraId="5564A58D" w14:textId="77777777" w:rsidR="008B1C66" w:rsidRDefault="00F0363E">
      <w:pPr>
        <w:numPr>
          <w:ilvl w:val="0"/>
          <w:numId w:val="36"/>
        </w:numPr>
        <w:spacing w:after="120" w:line="276" w:lineRule="auto"/>
        <w:ind w:left="851" w:hanging="425"/>
        <w:jc w:val="both"/>
        <w:rPr>
          <w:rFonts w:cs="Times New Roman"/>
        </w:rPr>
      </w:pPr>
      <w:r>
        <w:rPr>
          <w:rFonts w:cs="Times New Roman"/>
        </w:rPr>
        <w:t>informację o uchwałach Rady podjętych na posiedzeniu;</w:t>
      </w:r>
    </w:p>
    <w:p w14:paraId="5564A58E" w14:textId="77777777" w:rsidR="008B1C66" w:rsidRDefault="00F0363E">
      <w:pPr>
        <w:numPr>
          <w:ilvl w:val="0"/>
          <w:numId w:val="36"/>
        </w:numPr>
        <w:spacing w:after="120" w:line="276" w:lineRule="auto"/>
        <w:ind w:left="851" w:hanging="425"/>
        <w:jc w:val="both"/>
        <w:rPr>
          <w:rFonts w:cs="Times New Roman"/>
        </w:rPr>
      </w:pPr>
      <w:r>
        <w:rPr>
          <w:rFonts w:cs="Times New Roman"/>
        </w:rPr>
        <w:t>podpis sekretarza posiedzenia i podpis Przewodniczącego Rady.</w:t>
      </w:r>
    </w:p>
    <w:p w14:paraId="5564A58F" w14:textId="77777777" w:rsidR="008B1C66" w:rsidRDefault="00F0363E">
      <w:pPr>
        <w:numPr>
          <w:ilvl w:val="0"/>
          <w:numId w:val="12"/>
        </w:numPr>
        <w:tabs>
          <w:tab w:val="clear" w:pos="720"/>
        </w:tabs>
        <w:spacing w:after="120" w:line="276" w:lineRule="auto"/>
        <w:ind w:left="426" w:hanging="426"/>
        <w:jc w:val="both"/>
        <w:rPr>
          <w:rFonts w:cs="Times New Roman"/>
        </w:rPr>
      </w:pPr>
      <w:r>
        <w:rPr>
          <w:rFonts w:cs="Times New Roman"/>
        </w:rPr>
        <w:t>Przewodniczący Rady jest odpowiedzialny za zgodność informacji zawartych w protokole i uchwałach podjętych w trakcie posiedzenia. W razie niezgodności informacji zawartych w protokole i uchwałach podjętych w trakcie posiedzenia, Przewodniczący Rady przy pomocy sekretarza posiedzenia, na podstawie kart oceny operacji, notatek sekretarza posiedzenia oraz wyjaśnień lub notatek innych członków posiedzenia, dokonuje uzgodnienia treści protokołu z treścią uchwał.</w:t>
      </w:r>
    </w:p>
    <w:p w14:paraId="5564A590" w14:textId="77777777" w:rsidR="008B1C66" w:rsidRDefault="008B1C66">
      <w:pPr>
        <w:spacing w:line="276" w:lineRule="auto"/>
        <w:jc w:val="center"/>
        <w:rPr>
          <w:rFonts w:cs="Times New Roman"/>
        </w:rPr>
      </w:pPr>
    </w:p>
    <w:p w14:paraId="5564A591" w14:textId="77777777" w:rsidR="008B1C66" w:rsidRDefault="00F0363E">
      <w:pPr>
        <w:spacing w:after="120" w:line="276" w:lineRule="auto"/>
        <w:jc w:val="center"/>
        <w:rPr>
          <w:rFonts w:cs="Times New Roman"/>
          <w:b/>
        </w:rPr>
      </w:pPr>
      <w:r>
        <w:rPr>
          <w:rFonts w:cs="Times New Roman"/>
          <w:b/>
        </w:rPr>
        <w:t>§ 29</w:t>
      </w:r>
    </w:p>
    <w:p w14:paraId="5564A592" w14:textId="77777777" w:rsidR="008B1C66" w:rsidRDefault="00F0363E">
      <w:pPr>
        <w:numPr>
          <w:ilvl w:val="0"/>
          <w:numId w:val="13"/>
        </w:numPr>
        <w:tabs>
          <w:tab w:val="clear" w:pos="720"/>
        </w:tabs>
        <w:spacing w:after="120" w:line="276" w:lineRule="auto"/>
        <w:ind w:left="426" w:hanging="426"/>
        <w:jc w:val="both"/>
        <w:rPr>
          <w:rFonts w:cs="Times New Roman"/>
        </w:rPr>
      </w:pPr>
      <w:r>
        <w:rPr>
          <w:rFonts w:cs="Times New Roman"/>
        </w:rPr>
        <w:t>Uchwałom Rady nadaje si</w:t>
      </w:r>
      <w:r>
        <w:rPr>
          <w:rFonts w:eastAsia="Times New Roman" w:cs="Times New Roman"/>
        </w:rPr>
        <w:t xml:space="preserve">ę </w:t>
      </w:r>
      <w:r>
        <w:rPr>
          <w:rFonts w:cs="Times New Roman"/>
        </w:rPr>
        <w:t>form</w:t>
      </w:r>
      <w:r>
        <w:rPr>
          <w:rFonts w:eastAsia="Times New Roman" w:cs="Times New Roman"/>
        </w:rPr>
        <w:t xml:space="preserve">ę </w:t>
      </w:r>
      <w:r>
        <w:rPr>
          <w:rFonts w:cs="Times New Roman"/>
        </w:rPr>
        <w:t>odr</w:t>
      </w:r>
      <w:r>
        <w:rPr>
          <w:rFonts w:eastAsia="Times New Roman" w:cs="Times New Roman"/>
        </w:rPr>
        <w:t>ę</w:t>
      </w:r>
      <w:r>
        <w:rPr>
          <w:rFonts w:cs="Times New Roman"/>
        </w:rPr>
        <w:t>bnych dokumentów, z wyj</w:t>
      </w:r>
      <w:r>
        <w:rPr>
          <w:rFonts w:eastAsia="Times New Roman" w:cs="Times New Roman"/>
        </w:rPr>
        <w:t>ą</w:t>
      </w:r>
      <w:r>
        <w:rPr>
          <w:rFonts w:cs="Times New Roman"/>
        </w:rPr>
        <w:t>tkiem uchwał proceduralnych, które odnotowuje si</w:t>
      </w:r>
      <w:r>
        <w:rPr>
          <w:rFonts w:eastAsia="Times New Roman" w:cs="Times New Roman"/>
        </w:rPr>
        <w:t xml:space="preserve">ę </w:t>
      </w:r>
      <w:r>
        <w:rPr>
          <w:rFonts w:cs="Times New Roman"/>
        </w:rPr>
        <w:t>w protokole posiedzenia.</w:t>
      </w:r>
    </w:p>
    <w:p w14:paraId="5564A593" w14:textId="77777777" w:rsidR="008B1C66" w:rsidRDefault="00F0363E">
      <w:pPr>
        <w:numPr>
          <w:ilvl w:val="0"/>
          <w:numId w:val="13"/>
        </w:numPr>
        <w:tabs>
          <w:tab w:val="clear" w:pos="720"/>
        </w:tabs>
        <w:spacing w:after="120" w:line="276" w:lineRule="auto"/>
        <w:ind w:left="426" w:hanging="426"/>
        <w:jc w:val="both"/>
        <w:rPr>
          <w:rFonts w:cs="Times New Roman"/>
        </w:rPr>
      </w:pPr>
      <w:r>
        <w:rPr>
          <w:rFonts w:cs="Times New Roman"/>
        </w:rPr>
        <w:t>Podj</w:t>
      </w:r>
      <w:r>
        <w:rPr>
          <w:rFonts w:eastAsia="Times New Roman" w:cs="Times New Roman"/>
        </w:rPr>
        <w:t>ę</w:t>
      </w:r>
      <w:r>
        <w:rPr>
          <w:rFonts w:cs="Times New Roman"/>
        </w:rPr>
        <w:t>te uchwały opatruje si</w:t>
      </w:r>
      <w:r>
        <w:rPr>
          <w:rFonts w:eastAsia="Times New Roman" w:cs="Times New Roman"/>
        </w:rPr>
        <w:t xml:space="preserve">ę </w:t>
      </w:r>
      <w:r>
        <w:rPr>
          <w:rFonts w:cs="Times New Roman"/>
        </w:rPr>
        <w:t>dat</w:t>
      </w:r>
      <w:r>
        <w:rPr>
          <w:rFonts w:eastAsia="Times New Roman" w:cs="Times New Roman"/>
        </w:rPr>
        <w:t xml:space="preserve">ą </w:t>
      </w:r>
      <w:r>
        <w:rPr>
          <w:rFonts w:cs="Times New Roman"/>
        </w:rPr>
        <w:t>i numerem, na który składają si</w:t>
      </w:r>
      <w:r>
        <w:rPr>
          <w:rFonts w:eastAsia="Times New Roman" w:cs="Times New Roman"/>
        </w:rPr>
        <w:t>ę</w:t>
      </w:r>
      <w:r>
        <w:rPr>
          <w:rFonts w:cs="Times New Roman"/>
        </w:rPr>
        <w:t>: cyfry rzymskie oznaczaj</w:t>
      </w:r>
      <w:r>
        <w:rPr>
          <w:rFonts w:eastAsia="Times New Roman" w:cs="Times New Roman"/>
        </w:rPr>
        <w:t>ą</w:t>
      </w:r>
      <w:r>
        <w:rPr>
          <w:rFonts w:cs="Times New Roman"/>
        </w:rPr>
        <w:t>ce numer kolejny posiedzenia od pocz</w:t>
      </w:r>
      <w:r>
        <w:rPr>
          <w:rFonts w:eastAsia="Times New Roman" w:cs="Times New Roman"/>
        </w:rPr>
        <w:t>ą</w:t>
      </w:r>
      <w:r>
        <w:rPr>
          <w:rFonts w:cs="Times New Roman"/>
        </w:rPr>
        <w:t>tku realizacji danej Lokalnej Strategii Rozwoju, łamane przez numer kolejny uchwały od pocz</w:t>
      </w:r>
      <w:r>
        <w:rPr>
          <w:rFonts w:eastAsia="Times New Roman" w:cs="Times New Roman"/>
        </w:rPr>
        <w:t>ą</w:t>
      </w:r>
      <w:r>
        <w:rPr>
          <w:rFonts w:cs="Times New Roman"/>
        </w:rPr>
        <w:t>tku realizacji danej Lokalnej Strategii Rozwoju zapisany cyframi arabskimi, łamane przez dwie ostatnie cyfry roku zapisane cyframi arabskimi (np. I/7/24).</w:t>
      </w:r>
      <w:bookmarkStart w:id="7" w:name="_Hlk165614442"/>
      <w:bookmarkEnd w:id="7"/>
    </w:p>
    <w:p w14:paraId="5564A594" w14:textId="77777777" w:rsidR="008B1C66" w:rsidRDefault="00F0363E">
      <w:pPr>
        <w:numPr>
          <w:ilvl w:val="0"/>
          <w:numId w:val="13"/>
        </w:numPr>
        <w:tabs>
          <w:tab w:val="clear" w:pos="720"/>
        </w:tabs>
        <w:spacing w:after="120" w:line="276" w:lineRule="auto"/>
        <w:ind w:left="426" w:hanging="426"/>
        <w:jc w:val="both"/>
        <w:rPr>
          <w:rFonts w:cs="Times New Roman"/>
        </w:rPr>
      </w:pPr>
      <w:r>
        <w:rPr>
          <w:rFonts w:cs="Times New Roman"/>
        </w:rPr>
        <w:t>Uchwał</w:t>
      </w:r>
      <w:r>
        <w:rPr>
          <w:rFonts w:eastAsia="Times New Roman" w:cs="Times New Roman"/>
        </w:rPr>
        <w:t xml:space="preserve">ę </w:t>
      </w:r>
      <w:r>
        <w:rPr>
          <w:rFonts w:cs="Times New Roman"/>
        </w:rPr>
        <w:t>podpisuje Przewodnicz</w:t>
      </w:r>
      <w:r>
        <w:rPr>
          <w:rFonts w:eastAsia="Times New Roman" w:cs="Times New Roman"/>
        </w:rPr>
        <w:t>ą</w:t>
      </w:r>
      <w:r>
        <w:rPr>
          <w:rFonts w:cs="Times New Roman"/>
        </w:rPr>
        <w:t>cy Rady po jej podj</w:t>
      </w:r>
      <w:r>
        <w:rPr>
          <w:rFonts w:eastAsia="Times New Roman" w:cs="Times New Roman"/>
        </w:rPr>
        <w:t>ę</w:t>
      </w:r>
      <w:r>
        <w:rPr>
          <w:rFonts w:cs="Times New Roman"/>
        </w:rPr>
        <w:t>ciu.</w:t>
      </w:r>
    </w:p>
    <w:p w14:paraId="5564A595" w14:textId="77777777" w:rsidR="008B1C66" w:rsidRDefault="00F0363E">
      <w:pPr>
        <w:numPr>
          <w:ilvl w:val="0"/>
          <w:numId w:val="13"/>
        </w:numPr>
        <w:tabs>
          <w:tab w:val="clear" w:pos="720"/>
        </w:tabs>
        <w:spacing w:line="276" w:lineRule="auto"/>
        <w:ind w:left="426" w:hanging="426"/>
        <w:jc w:val="both"/>
        <w:rPr>
          <w:rFonts w:cs="Times New Roman"/>
        </w:rPr>
      </w:pPr>
      <w:r>
        <w:rPr>
          <w:rFonts w:cs="Times New Roman"/>
        </w:rPr>
        <w:t>Uchwały podj</w:t>
      </w:r>
      <w:r>
        <w:rPr>
          <w:rFonts w:eastAsia="Times New Roman" w:cs="Times New Roman"/>
        </w:rPr>
        <w:t>ę</w:t>
      </w:r>
      <w:r>
        <w:rPr>
          <w:rFonts w:cs="Times New Roman"/>
        </w:rPr>
        <w:t>te przez Rad</w:t>
      </w:r>
      <w:r>
        <w:rPr>
          <w:rFonts w:eastAsia="Times New Roman" w:cs="Times New Roman"/>
        </w:rPr>
        <w:t>ę</w:t>
      </w:r>
      <w:r>
        <w:rPr>
          <w:rFonts w:cs="Times New Roman"/>
        </w:rPr>
        <w:t xml:space="preserve"> Przewodnicz</w:t>
      </w:r>
      <w:r>
        <w:rPr>
          <w:rFonts w:eastAsia="Times New Roman" w:cs="Times New Roman"/>
        </w:rPr>
        <w:t>ą</w:t>
      </w:r>
      <w:r>
        <w:rPr>
          <w:rFonts w:cs="Times New Roman"/>
        </w:rPr>
        <w:t>cy Rady przekazuje do Biura wraz z całą dokumentacją dotyczącą posiedzenia nie pó</w:t>
      </w:r>
      <w:r>
        <w:rPr>
          <w:rFonts w:eastAsia="Times New Roman" w:cs="Times New Roman"/>
        </w:rPr>
        <w:t>ź</w:t>
      </w:r>
      <w:r>
        <w:rPr>
          <w:rFonts w:cs="Times New Roman"/>
        </w:rPr>
        <w:t>niej ni</w:t>
      </w:r>
      <w:r>
        <w:rPr>
          <w:rFonts w:eastAsia="Times New Roman" w:cs="Times New Roman"/>
        </w:rPr>
        <w:t xml:space="preserve">ż </w:t>
      </w:r>
      <w:r>
        <w:rPr>
          <w:rFonts w:eastAsia="Times New Roman" w:cs="Times New Roman"/>
          <w:color w:val="000000"/>
        </w:rPr>
        <w:t xml:space="preserve">3 </w:t>
      </w:r>
      <w:r>
        <w:rPr>
          <w:rFonts w:cs="Times New Roman"/>
          <w:color w:val="000000"/>
        </w:rPr>
        <w:t xml:space="preserve">dni </w:t>
      </w:r>
      <w:r>
        <w:rPr>
          <w:rFonts w:cs="Times New Roman"/>
        </w:rPr>
        <w:t>od ich podjęcia. W przypadku uchwał podjętych w wyniku złożenia protestu Przewodniczący Rady przekazuje je do Biura następnego dnia po ich podjęciu.</w:t>
      </w:r>
    </w:p>
    <w:p w14:paraId="5564A596" w14:textId="77777777" w:rsidR="008B1C66" w:rsidRDefault="008B1C66">
      <w:pPr>
        <w:spacing w:line="276" w:lineRule="auto"/>
        <w:jc w:val="center"/>
        <w:rPr>
          <w:rFonts w:cs="Times New Roman"/>
        </w:rPr>
      </w:pPr>
    </w:p>
    <w:p w14:paraId="5564A597" w14:textId="77777777" w:rsidR="008B1C66" w:rsidRDefault="00F0363E">
      <w:pPr>
        <w:spacing w:after="120" w:line="276" w:lineRule="auto"/>
        <w:jc w:val="center"/>
        <w:rPr>
          <w:rFonts w:cs="Times New Roman"/>
          <w:b/>
        </w:rPr>
      </w:pPr>
      <w:r>
        <w:rPr>
          <w:rFonts w:cs="Times New Roman"/>
          <w:b/>
        </w:rPr>
        <w:t>§ 30</w:t>
      </w:r>
    </w:p>
    <w:p w14:paraId="5564A59A" w14:textId="08FBDC7D" w:rsidR="008B1C66" w:rsidRPr="0031077F" w:rsidRDefault="00F0363E" w:rsidP="0031077F">
      <w:pPr>
        <w:spacing w:after="120" w:line="276" w:lineRule="auto"/>
        <w:jc w:val="both"/>
        <w:rPr>
          <w:rFonts w:cs="Times New Roman"/>
        </w:rPr>
      </w:pPr>
      <w:r>
        <w:rPr>
          <w:rFonts w:cs="Times New Roman"/>
        </w:rPr>
        <w:t>Protokoły i dokumentacja z posiedze</w:t>
      </w:r>
      <w:r>
        <w:rPr>
          <w:rFonts w:eastAsia="Times New Roman" w:cs="Times New Roman"/>
        </w:rPr>
        <w:t xml:space="preserve">ń </w:t>
      </w:r>
      <w:r>
        <w:rPr>
          <w:rFonts w:cs="Times New Roman"/>
        </w:rPr>
        <w:t>Rady jest gromadzona i przechowywana w Biurze. Dokumentacja ma charakter jawny i jest udost</w:t>
      </w:r>
      <w:r>
        <w:rPr>
          <w:rFonts w:eastAsia="Times New Roman" w:cs="Times New Roman"/>
        </w:rPr>
        <w:t>ę</w:t>
      </w:r>
      <w:r>
        <w:rPr>
          <w:rFonts w:cs="Times New Roman"/>
        </w:rPr>
        <w:t>pniona do wgl</w:t>
      </w:r>
      <w:r>
        <w:rPr>
          <w:rFonts w:eastAsia="Times New Roman" w:cs="Times New Roman"/>
        </w:rPr>
        <w:t>ą</w:t>
      </w:r>
      <w:r>
        <w:rPr>
          <w:rFonts w:cs="Times New Roman"/>
        </w:rPr>
        <w:t>du wszystkim zainteresowanym.</w:t>
      </w:r>
    </w:p>
    <w:p w14:paraId="5564A59B" w14:textId="77777777" w:rsidR="008B1C66" w:rsidRDefault="008B1C66">
      <w:pPr>
        <w:spacing w:line="276" w:lineRule="auto"/>
        <w:rPr>
          <w:rFonts w:eastAsia="Times New Roman" w:cs="Times New Roman"/>
          <w:b/>
          <w:bCs/>
          <w:color w:val="000000"/>
        </w:rPr>
      </w:pPr>
    </w:p>
    <w:p w14:paraId="5564A59C" w14:textId="77777777" w:rsidR="008B1C66" w:rsidRDefault="00F0363E">
      <w:pPr>
        <w:spacing w:after="120" w:line="276" w:lineRule="auto"/>
        <w:jc w:val="center"/>
        <w:rPr>
          <w:rFonts w:eastAsia="Times New Roman" w:cs="Times New Roman"/>
          <w:b/>
          <w:bCs/>
          <w:color w:val="000000"/>
        </w:rPr>
      </w:pPr>
      <w:r>
        <w:rPr>
          <w:rFonts w:eastAsia="Times New Roman" w:cs="Times New Roman"/>
          <w:b/>
          <w:bCs/>
          <w:color w:val="000000"/>
        </w:rPr>
        <w:t>Rozdział X</w:t>
      </w:r>
    </w:p>
    <w:p w14:paraId="5564A59D" w14:textId="77777777" w:rsidR="008B1C66" w:rsidRDefault="00F0363E">
      <w:pPr>
        <w:spacing w:after="120" w:line="276" w:lineRule="auto"/>
        <w:ind w:left="15"/>
        <w:jc w:val="center"/>
        <w:rPr>
          <w:rFonts w:eastAsia="Times New Roman" w:cs="Times New Roman"/>
          <w:b/>
          <w:color w:val="000000"/>
        </w:rPr>
      </w:pPr>
      <w:r>
        <w:rPr>
          <w:rFonts w:eastAsia="Times New Roman" w:cs="Times New Roman"/>
          <w:b/>
          <w:color w:val="000000"/>
        </w:rPr>
        <w:t xml:space="preserve">Postępowanie w razie wniesienia protestu od rozstrzygnięcia Rady </w:t>
      </w:r>
      <w:r>
        <w:rPr>
          <w:rFonts w:eastAsia="Times New Roman" w:cs="Times New Roman"/>
          <w:b/>
          <w:color w:val="000000"/>
        </w:rPr>
        <w:br/>
        <w:t>w sprawie wyboru operacji i ustalenia kwoty wsparcia</w:t>
      </w:r>
    </w:p>
    <w:p w14:paraId="5564A59E" w14:textId="77777777" w:rsidR="008B1C66" w:rsidRDefault="008B1C66">
      <w:pPr>
        <w:spacing w:line="276" w:lineRule="auto"/>
        <w:rPr>
          <w:rFonts w:eastAsia="Times New Roman" w:cs="Times New Roman"/>
          <w:color w:val="000000"/>
        </w:rPr>
      </w:pPr>
    </w:p>
    <w:p w14:paraId="5564A59F" w14:textId="77777777" w:rsidR="008B1C66" w:rsidRDefault="00F0363E">
      <w:pPr>
        <w:spacing w:after="120" w:line="276" w:lineRule="auto"/>
        <w:ind w:left="15"/>
        <w:jc w:val="center"/>
        <w:rPr>
          <w:rFonts w:eastAsia="Times New Roman" w:cs="Times New Roman"/>
          <w:b/>
          <w:color w:val="000000"/>
        </w:rPr>
      </w:pPr>
      <w:r>
        <w:rPr>
          <w:rFonts w:eastAsia="Times New Roman" w:cs="Times New Roman"/>
          <w:b/>
          <w:color w:val="000000"/>
        </w:rPr>
        <w:t>§ 31</w:t>
      </w:r>
    </w:p>
    <w:p w14:paraId="5564A5A0"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Od rozstrzygnięć Rady wnioskodawcy przysługuje prawo wniesienia protestu w terminie do 7 dni do Zarządu Województwa za pośrednictwem LGD, na zasadach określonych w ustawie </w:t>
      </w:r>
      <w:r>
        <w:rPr>
          <w:rFonts w:eastAsia="Times New Roman" w:cs="Times New Roman"/>
          <w:color w:val="000000"/>
        </w:rPr>
        <w:br/>
      </w:r>
      <w:r>
        <w:rPr>
          <w:rFonts w:eastAsia="Times New Roman" w:cs="Times New Roman"/>
          <w:color w:val="000000"/>
        </w:rPr>
        <w:lastRenderedPageBreak/>
        <w:t>o RLKS. Wnioskodawcy przysługuje prawo do wniesienia protestu od:</w:t>
      </w:r>
    </w:p>
    <w:p w14:paraId="5564A5A1" w14:textId="77777777" w:rsidR="008B1C66" w:rsidRDefault="00F0363E">
      <w:pPr>
        <w:pStyle w:val="Akapitzlist"/>
        <w:numPr>
          <w:ilvl w:val="2"/>
          <w:numId w:val="39"/>
        </w:numPr>
        <w:spacing w:after="120" w:line="276" w:lineRule="auto"/>
        <w:jc w:val="both"/>
        <w:rPr>
          <w:rFonts w:eastAsia="Times New Roman" w:cs="Times New Roman"/>
          <w:color w:val="000000"/>
        </w:rPr>
      </w:pPr>
      <w:r>
        <w:rPr>
          <w:rFonts w:eastAsia="Times New Roman" w:cs="Times New Roman"/>
          <w:color w:val="000000"/>
        </w:rPr>
        <w:t>negatywnego wyniku oceny spełnienia warunków udzielenia wsparcia na wdrożenie LSR albo</w:t>
      </w:r>
    </w:p>
    <w:p w14:paraId="5564A5A2" w14:textId="77777777" w:rsidR="008B1C66" w:rsidRDefault="00F0363E">
      <w:pPr>
        <w:pStyle w:val="Akapitzlist"/>
        <w:numPr>
          <w:ilvl w:val="2"/>
          <w:numId w:val="39"/>
        </w:numPr>
        <w:spacing w:after="120" w:line="276" w:lineRule="auto"/>
        <w:jc w:val="both"/>
        <w:rPr>
          <w:rFonts w:eastAsia="Times New Roman" w:cs="Times New Roman"/>
          <w:color w:val="000000"/>
        </w:rPr>
      </w:pPr>
      <w:r>
        <w:rPr>
          <w:rFonts w:eastAsia="Times New Roman" w:cs="Times New Roman"/>
          <w:color w:val="000000"/>
        </w:rPr>
        <w:t>wyniku oceny spełnienia kryteriów wyboru operacji, na skutek której operacja nie została wybrana, albo</w:t>
      </w:r>
    </w:p>
    <w:p w14:paraId="5564A5A3" w14:textId="77777777" w:rsidR="008B1C66" w:rsidRDefault="00F0363E">
      <w:pPr>
        <w:pStyle w:val="Akapitzlist"/>
        <w:numPr>
          <w:ilvl w:val="2"/>
          <w:numId w:val="39"/>
        </w:numPr>
        <w:spacing w:after="120" w:line="276" w:lineRule="auto"/>
        <w:jc w:val="both"/>
        <w:rPr>
          <w:rFonts w:eastAsia="Times New Roman" w:cs="Times New Roman"/>
          <w:color w:val="000000"/>
        </w:rPr>
      </w:pPr>
      <w:r>
        <w:rPr>
          <w:rFonts w:eastAsia="Times New Roman" w:cs="Times New Roman"/>
          <w:color w:val="000000"/>
        </w:rPr>
        <w:t xml:space="preserve">wyniku wyboru operacji, na skutek którego operacja nie mieści się w limicie środków przeznaczonych na udzielenie wsparcia na wdrażanie LSR w ramach danego naboru wniosków o wsparcie, lub ustalenia przez LGD kwoty wsparcia na wdrażanie LSR niższej niż wnioskowana; </w:t>
      </w:r>
    </w:p>
    <w:p w14:paraId="5564A5A4"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W przypadku wniesienia do protestu, o którym mowa </w:t>
      </w:r>
      <w:r>
        <w:rPr>
          <w:rFonts w:cs="Times New Roman"/>
        </w:rPr>
        <w:t>w ust. 1,</w:t>
      </w:r>
      <w:r>
        <w:rPr>
          <w:rFonts w:eastAsia="Times New Roman" w:cs="Times New Roman"/>
          <w:color w:val="000000"/>
        </w:rPr>
        <w:t xml:space="preserve"> Zarząd, po dokonaniu wstępnej oceny zasadności zarzutów zawartych w proteście oraz po ewentualnym uzupełnieniu protestu w trybie art. 22a ust. 3-5 ustawy o RLKS, może – jeżeli zachodzi taka potrzeba – poinformować Przewodniczącego Rady o konieczności zwołania posiedzenia Rady w celu </w:t>
      </w:r>
      <w:bookmarkStart w:id="8" w:name="_Hlk165447689"/>
      <w:r>
        <w:rPr>
          <w:rFonts w:eastAsia="Times New Roman" w:cs="Times New Roman"/>
          <w:color w:val="000000"/>
        </w:rPr>
        <w:t>weryfikacji wyników dokonanej oceny operacji w zakresie warunków, kryteriów i zarzutów podniesionych w proteście</w:t>
      </w:r>
      <w:bookmarkEnd w:id="8"/>
      <w:r>
        <w:rPr>
          <w:rFonts w:eastAsia="Times New Roman" w:cs="Times New Roman"/>
          <w:color w:val="000000"/>
        </w:rPr>
        <w:t>. Posiedzenie Rady powinno się odbyć w terminie umożliwiającym zachowanie przez LGD terminu, o którym mowa w art. 22c ust. 3 ustawy o RLKS. Zaleca się, by termin został wyznaczony w taki sposób, by po zakończeniu posiedzenia Rady pozostały co najmniej dwa dni robocze do upływu terminu, o którym mowa w art. 22c ust. 3 ustawy o RLKS, na realizację przez Biuro i Zarząd obowiązków związanych z przekazaniem do Zarządu Województwa i wnioskodawcy informacji o wyniku weryfikacji przez Radę wyników wcześniejszej oceny.</w:t>
      </w:r>
    </w:p>
    <w:p w14:paraId="5564A5A5"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W przypadku zwołania posiedzenia Rady, o którym mowa w ust. 2, Rada dokonuje </w:t>
      </w:r>
      <w:bookmarkStart w:id="9" w:name="_Hlk165615387"/>
      <w:r>
        <w:rPr>
          <w:rFonts w:eastAsia="Times New Roman" w:cs="Times New Roman"/>
          <w:color w:val="000000"/>
        </w:rPr>
        <w:t>weryfikacji wyników dokonanej oceny operacji w zakresie warunków, kryteriów i zarzutów podniesionych w proteście</w:t>
      </w:r>
      <w:bookmarkEnd w:id="9"/>
      <w:r>
        <w:rPr>
          <w:rFonts w:eastAsia="Times New Roman" w:cs="Times New Roman"/>
          <w:lang w:eastAsia="pl-PL"/>
        </w:rPr>
        <w:t>, które dotyczą:</w:t>
      </w:r>
    </w:p>
    <w:p w14:paraId="5564A5A6" w14:textId="77777777" w:rsidR="008B1C66" w:rsidRDefault="00F0363E">
      <w:pPr>
        <w:pStyle w:val="Akapitzlist"/>
        <w:numPr>
          <w:ilvl w:val="0"/>
          <w:numId w:val="42"/>
        </w:numPr>
        <w:spacing w:after="120" w:line="276" w:lineRule="auto"/>
        <w:ind w:left="850" w:hanging="425"/>
        <w:jc w:val="both"/>
        <w:rPr>
          <w:rFonts w:eastAsia="Times New Roman" w:cs="Times New Roman"/>
          <w:color w:val="000000"/>
        </w:rPr>
      </w:pPr>
      <w:r>
        <w:rPr>
          <w:rFonts w:eastAsia="Times New Roman" w:cs="Times New Roman"/>
          <w:color w:val="000000"/>
        </w:rPr>
        <w:t xml:space="preserve">warunków udzielenia pomocy lub kryteriów wyboru operacji, z których oceną wnioskodawca się nie zgadza, </w:t>
      </w:r>
    </w:p>
    <w:p w14:paraId="5564A5A7" w14:textId="77777777" w:rsidR="008B1C66" w:rsidRDefault="00F0363E">
      <w:pPr>
        <w:pStyle w:val="Akapitzlist"/>
        <w:numPr>
          <w:ilvl w:val="0"/>
          <w:numId w:val="42"/>
        </w:numPr>
        <w:spacing w:after="120" w:line="276" w:lineRule="auto"/>
        <w:ind w:left="850" w:hanging="425"/>
        <w:jc w:val="both"/>
        <w:rPr>
          <w:rFonts w:eastAsia="Times New Roman" w:cs="Times New Roman"/>
          <w:color w:val="000000"/>
        </w:rPr>
      </w:pPr>
      <w:r>
        <w:rPr>
          <w:rFonts w:eastAsia="Times New Roman" w:cs="Times New Roman"/>
          <w:color w:val="000000"/>
        </w:rPr>
        <w:t>ustalenia przez Radę kwoty wsparcia na wdrażanie LSR niższej niż wnioskowana;</w:t>
      </w:r>
    </w:p>
    <w:p w14:paraId="5564A5A8" w14:textId="77777777" w:rsidR="008B1C66" w:rsidRDefault="00F0363E">
      <w:pPr>
        <w:pStyle w:val="Akapitzlist"/>
        <w:numPr>
          <w:ilvl w:val="0"/>
          <w:numId w:val="42"/>
        </w:numPr>
        <w:spacing w:after="120" w:line="276" w:lineRule="auto"/>
        <w:ind w:left="850" w:hanging="425"/>
        <w:jc w:val="both"/>
        <w:rPr>
          <w:rFonts w:eastAsia="Times New Roman" w:cs="Times New Roman"/>
          <w:color w:val="000000"/>
        </w:rPr>
      </w:pPr>
      <w:r>
        <w:rPr>
          <w:rFonts w:eastAsia="Times New Roman" w:cs="Times New Roman"/>
          <w:color w:val="000000"/>
        </w:rPr>
        <w:t>naruszenia procedury w zakresie przeprowadzonej oceny, jeżeli zdaniem wnioskodawcy takie naruszenia miały miejsce.</w:t>
      </w:r>
    </w:p>
    <w:p w14:paraId="5564A5A9"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W przypadku uwzględnienia któregokolwiek z zarzutów, o których mowa w ust. 3, Rada zmienia ocenę operacji w zakresie, w jakim uwzględnione zarzuty miały wpływ na ocenę poszczególnych elementów operacji, co skutkuje odpowiednio skierowaniem operacji do właściwego etapu oceny (jeżeli np. wcześniej Rada uznała, że operacja nie przeszła pozytywnie oceny formalnej lub oceny merytorycznej w zakresie spełniania warunków przyznania pomocy, o których mowa w cz. VII.4.1. pkt 5 </w:t>
      </w:r>
      <w:proofErr w:type="spellStart"/>
      <w:r>
        <w:rPr>
          <w:rFonts w:eastAsia="Times New Roman" w:cs="Times New Roman"/>
          <w:color w:val="000000"/>
        </w:rPr>
        <w:t>ppkt</w:t>
      </w:r>
      <w:proofErr w:type="spellEnd"/>
      <w:r>
        <w:rPr>
          <w:rFonts w:eastAsia="Times New Roman" w:cs="Times New Roman"/>
          <w:color w:val="000000"/>
        </w:rPr>
        <w:t xml:space="preserve"> 1-2 Wytycznych podstawowych) albo wybraniem operacji. Uwzględnienie zarzutów może powodować także konieczność dokonania aktualizacji list, o których mowa w § 26 ust. 6, jeżeli wynik weryfikacji uzasadnia taką zmianę.</w:t>
      </w:r>
    </w:p>
    <w:p w14:paraId="5564A5AA"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t>W przypadku nieuwzględnienia danego zarzutu</w:t>
      </w:r>
      <w:r>
        <w:rPr>
          <w:rFonts w:cs="Times New Roman"/>
        </w:rPr>
        <w:t xml:space="preserve"> Rada</w:t>
      </w:r>
      <w:r>
        <w:rPr>
          <w:rFonts w:eastAsia="Times New Roman" w:cs="Times New Roman"/>
          <w:lang w:eastAsia="pl-PL"/>
        </w:rPr>
        <w:t xml:space="preserve"> podtrzymuje poprzednio dokonaną ocenę w zakresie, którego dotyczy zarzut.</w:t>
      </w:r>
    </w:p>
    <w:p w14:paraId="5564A5AB"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t xml:space="preserve">Rada przeprowadza głosowanie dotyczące uwzględniania poszczególnych zarzutów podniesionych w proteście, o których mowa w ust. 3, </w:t>
      </w:r>
      <w:r>
        <w:rPr>
          <w:rFonts w:cs="Times New Roman"/>
        </w:rPr>
        <w:t>i podejmuje stosowną</w:t>
      </w:r>
      <w:r>
        <w:rPr>
          <w:rFonts w:eastAsia="Times New Roman" w:cs="Times New Roman"/>
          <w:lang w:eastAsia="pl-PL"/>
        </w:rPr>
        <w:t xml:space="preserve"> uchwałę dotyczącą weryfikacji wyników dokonanej oceny operacji. Wzór takiej uchwały stanowi </w:t>
      </w:r>
      <w:r>
        <w:rPr>
          <w:rFonts w:eastAsia="Times New Roman" w:cs="Times New Roman"/>
          <w:b/>
          <w:lang w:eastAsia="pl-PL"/>
        </w:rPr>
        <w:t>załącznik do procedury wyboru i oceny operacji/ grantobiorców</w:t>
      </w:r>
      <w:r>
        <w:rPr>
          <w:rFonts w:eastAsia="Times New Roman" w:cs="Times New Roman"/>
          <w:lang w:eastAsia="pl-PL"/>
        </w:rPr>
        <w:t>.</w:t>
      </w:r>
    </w:p>
    <w:p w14:paraId="5564A5AC" w14:textId="77777777" w:rsidR="008B1C66" w:rsidRDefault="00F0363E">
      <w:pPr>
        <w:numPr>
          <w:ilvl w:val="0"/>
          <w:numId w:val="14"/>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lastRenderedPageBreak/>
        <w:t xml:space="preserve">O wyniku </w:t>
      </w:r>
      <w:r>
        <w:rPr>
          <w:rFonts w:eastAsia="Times New Roman" w:cs="Times New Roman"/>
          <w:color w:val="000000"/>
        </w:rPr>
        <w:t>weryfikacji wyników dokonanej oceny operacji w zakresie warunków, kryteriów i zarzutów podniesionych w proteście</w:t>
      </w:r>
      <w:r>
        <w:rPr>
          <w:rFonts w:eastAsia="Times New Roman" w:cs="Times New Roman"/>
          <w:lang w:eastAsia="pl-PL"/>
        </w:rPr>
        <w:t xml:space="preserve"> Przewodniczący Rady niezwłocznie informuje Biuro, przekazując dokumentację z posiedzenia, w tym podjętą uchwałę dotyczącą ponownej weryfikacji wyników dokonanej oceny operacji. Biuro i Zarząd podejmują stosowne działania, zgodnie z </w:t>
      </w:r>
      <w:r>
        <w:rPr>
          <w:rFonts w:eastAsia="Times New Roman" w:cs="Times New Roman"/>
          <w:color w:val="000000"/>
        </w:rPr>
        <w:t>procedurą przeprowadzania naborów wniosków i wyboru operacji stanowiącą odrębny dokument</w:t>
      </w:r>
      <w:r>
        <w:rPr>
          <w:rFonts w:eastAsia="Times New Roman" w:cs="Times New Roman"/>
          <w:lang w:eastAsia="pl-PL"/>
        </w:rPr>
        <w:t>.</w:t>
      </w:r>
    </w:p>
    <w:p w14:paraId="5564A5AD" w14:textId="77777777" w:rsidR="008B1C66" w:rsidRDefault="00F0363E">
      <w:pPr>
        <w:numPr>
          <w:ilvl w:val="0"/>
          <w:numId w:val="14"/>
        </w:numPr>
        <w:tabs>
          <w:tab w:val="clear" w:pos="720"/>
        </w:tabs>
        <w:spacing w:before="240" w:line="276" w:lineRule="auto"/>
        <w:ind w:left="426" w:hanging="426"/>
        <w:jc w:val="both"/>
        <w:rPr>
          <w:rFonts w:eastAsia="Times New Roman" w:cs="Times New Roman"/>
          <w:color w:val="000000"/>
        </w:rPr>
      </w:pPr>
      <w:r>
        <w:rPr>
          <w:rFonts w:eastAsia="Times New Roman" w:cs="Times New Roman"/>
          <w:lang w:eastAsia="pl-PL"/>
        </w:rPr>
        <w:t xml:space="preserve">Do posiedzenia Rady, o którym mowa w tym paragrafie, </w:t>
      </w:r>
      <w:r>
        <w:rPr>
          <w:rFonts w:cs="Times New Roman"/>
        </w:rPr>
        <w:t xml:space="preserve">stosuje się odpowiednio przepisy regulaminu dotyczące posiedzeń zwoływanych w celu oceny operacji. </w:t>
      </w:r>
    </w:p>
    <w:p w14:paraId="5564A5AE" w14:textId="77777777" w:rsidR="008B1C66" w:rsidRDefault="00F0363E">
      <w:pPr>
        <w:numPr>
          <w:ilvl w:val="0"/>
          <w:numId w:val="14"/>
        </w:numPr>
        <w:tabs>
          <w:tab w:val="clear" w:pos="720"/>
        </w:tabs>
        <w:spacing w:before="240" w:line="276" w:lineRule="auto"/>
        <w:ind w:left="426" w:hanging="426"/>
        <w:jc w:val="both"/>
        <w:rPr>
          <w:rFonts w:eastAsia="Times New Roman" w:cs="Times New Roman"/>
          <w:color w:val="000000"/>
        </w:rPr>
      </w:pPr>
      <w:r>
        <w:t>Wnioskodawca może wycofać protest do czasu zakończenia rozpatrywania protestu przez Zarząd Województwa.</w:t>
      </w:r>
    </w:p>
    <w:p w14:paraId="5564A5AF" w14:textId="77777777" w:rsidR="008B1C66" w:rsidRDefault="00F0363E">
      <w:pPr>
        <w:numPr>
          <w:ilvl w:val="0"/>
          <w:numId w:val="14"/>
        </w:numPr>
        <w:tabs>
          <w:tab w:val="clear" w:pos="720"/>
        </w:tabs>
        <w:spacing w:before="240" w:line="276" w:lineRule="auto"/>
        <w:ind w:left="426" w:hanging="426"/>
        <w:jc w:val="both"/>
        <w:rPr>
          <w:rFonts w:eastAsia="Times New Roman" w:cs="Times New Roman"/>
          <w:color w:val="000000"/>
        </w:rPr>
      </w:pPr>
      <w:r>
        <w:t>Wycofanie protestu następuje przez złożenie pisemnego żądania w tym zakresie. Wnioskodawca może złożyć takie żądanie zarówno do LGD, jak i do Zarządu Województwa. Pisemne żądanie dotyczące wycofania protestu wnioskodawca składa w Biurze LGD (za pośrednictwem poczty, osobiście lub poprzez umocowaną osobę).</w:t>
      </w:r>
    </w:p>
    <w:p w14:paraId="5564A5B0" w14:textId="77777777" w:rsidR="008B1C66" w:rsidRDefault="00F0363E">
      <w:pPr>
        <w:numPr>
          <w:ilvl w:val="0"/>
          <w:numId w:val="14"/>
        </w:numPr>
        <w:tabs>
          <w:tab w:val="clear" w:pos="720"/>
        </w:tabs>
        <w:spacing w:before="240" w:line="276" w:lineRule="auto"/>
        <w:ind w:left="426" w:hanging="426"/>
        <w:jc w:val="both"/>
        <w:rPr>
          <w:rFonts w:eastAsia="Times New Roman" w:cs="Times New Roman"/>
          <w:color w:val="000000"/>
        </w:rPr>
      </w:pPr>
      <w:r>
        <w:t>Po otrzymaniu przez LGD pisemnego żądania wycofania protestu, Biuro weryfikuje, czy zostało ono złożone przez uprawniony do tego podmiot (w tym, czy zostało podpisane przez osoby upoważnione do reprezentacji wnioskodawcy) i czy jest ono sformułowane jednoznacznie. W przypadku jakichkolwiek wątpliwości w tym zakresie, Biuro wzywa wnioskodawcę do wyjaśnień lub uzupełnień. W przypadku, gdy wyjaśnienia lub uzupełnienia nie rozwieją wszystkich wątpliwości LGD w tym zakresie, pisemne żądanie protestu pozostawia się bez dalszego biegu.</w:t>
      </w:r>
    </w:p>
    <w:p w14:paraId="5564A5B1" w14:textId="77777777" w:rsidR="008B1C66" w:rsidRDefault="00F0363E">
      <w:pPr>
        <w:numPr>
          <w:ilvl w:val="0"/>
          <w:numId w:val="14"/>
        </w:numPr>
        <w:tabs>
          <w:tab w:val="clear" w:pos="720"/>
        </w:tabs>
        <w:spacing w:before="240" w:line="276" w:lineRule="auto"/>
        <w:ind w:left="426" w:hanging="426"/>
        <w:jc w:val="both"/>
        <w:rPr>
          <w:rFonts w:eastAsia="Times New Roman" w:cs="Times New Roman"/>
          <w:color w:val="000000"/>
        </w:rPr>
      </w:pPr>
      <w:r>
        <w:t>W przypadku złożenia do LGD przez wnioskodawcę prawidłowego żądania dotyczącego wycofania protestu LGD:</w:t>
      </w:r>
    </w:p>
    <w:p w14:paraId="5564A5B2" w14:textId="77777777" w:rsidR="008B1C66" w:rsidRDefault="00F0363E">
      <w:pPr>
        <w:pStyle w:val="Akapitzlist"/>
        <w:numPr>
          <w:ilvl w:val="1"/>
          <w:numId w:val="14"/>
        </w:numPr>
        <w:spacing w:before="240" w:after="120"/>
        <w:jc w:val="both"/>
      </w:pPr>
      <w:r>
        <w:rPr>
          <w:color w:val="000000"/>
        </w:rPr>
        <w:t>pozostawia protest bez rozpatrzenia, informując o tym wnioskodawcę w formie pisemnej;</w:t>
      </w:r>
    </w:p>
    <w:p w14:paraId="5564A5B3" w14:textId="77777777" w:rsidR="008B1C66" w:rsidRDefault="00F0363E">
      <w:pPr>
        <w:pStyle w:val="Akapitzlist"/>
        <w:numPr>
          <w:ilvl w:val="1"/>
          <w:numId w:val="14"/>
        </w:numPr>
        <w:spacing w:before="240" w:after="120"/>
        <w:jc w:val="both"/>
      </w:pPr>
      <w:r>
        <w:rPr>
          <w:color w:val="000000"/>
        </w:rPr>
        <w:t>przekazuje oświadczenie o wycofaniu protestu do Zarządu Województwa, jeżeli wcześniej skierowała do niego protest.</w:t>
      </w:r>
    </w:p>
    <w:p w14:paraId="5564A5B4" w14:textId="77777777" w:rsidR="008B1C66" w:rsidRDefault="00F0363E">
      <w:pPr>
        <w:spacing w:before="240" w:after="120"/>
        <w:jc w:val="both"/>
      </w:pPr>
      <w:r>
        <w:t>13.W przypadku wycofania protestu ponowne jego wniesienie jest niedopuszczalne.</w:t>
      </w:r>
    </w:p>
    <w:p w14:paraId="5564A5B5" w14:textId="77777777" w:rsidR="008B1C66" w:rsidRDefault="00F0363E">
      <w:pPr>
        <w:spacing w:before="240" w:after="120"/>
        <w:jc w:val="both"/>
      </w:pPr>
      <w:r>
        <w:t xml:space="preserve">14.W przypadku wycofania protestu wnioskodawca nie może wnieść skargi do </w:t>
      </w:r>
      <w:r>
        <w:rPr>
          <w:color w:val="000000"/>
        </w:rPr>
        <w:t>Wojewódzkiego Sądu Administracyjnego</w:t>
      </w:r>
      <w:r>
        <w:t xml:space="preserve"> .</w:t>
      </w:r>
    </w:p>
    <w:p w14:paraId="5564A5B6" w14:textId="77777777" w:rsidR="008B1C66" w:rsidRDefault="00F0363E">
      <w:pPr>
        <w:spacing w:before="240" w:after="120"/>
        <w:jc w:val="both"/>
      </w:pPr>
      <w:r>
        <w:t xml:space="preserve">15.Protest pozostawia się bez rozpatrzenia, jeżeli mimo prawidłowego pouczenia, o którym mowa </w:t>
      </w:r>
      <w:r>
        <w:br/>
        <w:t>w art. 21 ust.6, został wniesiony:</w:t>
      </w:r>
    </w:p>
    <w:p w14:paraId="5564A5B7" w14:textId="77777777" w:rsidR="008B1C66" w:rsidRDefault="00F0363E">
      <w:pPr>
        <w:spacing w:before="240" w:after="120"/>
        <w:jc w:val="both"/>
      </w:pPr>
      <w:r>
        <w:tab/>
        <w:t>1) po terminie lub bez spełnienia wymogów określonych w art. 22 a ust. 2 pkt 4 lub 5, o czym wnioskodawca jest informowany przez LGD;</w:t>
      </w:r>
    </w:p>
    <w:p w14:paraId="5564A5B8" w14:textId="77777777" w:rsidR="008B1C66" w:rsidRDefault="00F0363E">
      <w:pPr>
        <w:spacing w:before="240" w:after="120"/>
        <w:jc w:val="both"/>
      </w:pPr>
      <w:r>
        <w:tab/>
        <w:t xml:space="preserve">2) przez podmiot wykluczony z możliwości otrzymania wsparcia, o czym wnioskodawca jest informowany przez Zarząd województwa. </w:t>
      </w:r>
    </w:p>
    <w:p w14:paraId="5564A5B9" w14:textId="77777777" w:rsidR="008B1C66" w:rsidRDefault="008B1C66">
      <w:pPr>
        <w:spacing w:line="276" w:lineRule="auto"/>
        <w:jc w:val="both"/>
        <w:rPr>
          <w:rFonts w:eastAsia="Times New Roman" w:cs="Times New Roman"/>
          <w:color w:val="000000"/>
        </w:rPr>
      </w:pPr>
    </w:p>
    <w:p w14:paraId="5564A5BA" w14:textId="77777777" w:rsidR="008B1C66" w:rsidRDefault="00F0363E">
      <w:pPr>
        <w:spacing w:after="120" w:line="276" w:lineRule="auto"/>
        <w:jc w:val="center"/>
        <w:rPr>
          <w:rFonts w:eastAsia="Times New Roman" w:cs="Times New Roman"/>
          <w:b/>
          <w:color w:val="000000"/>
        </w:rPr>
      </w:pPr>
      <w:r>
        <w:rPr>
          <w:rFonts w:eastAsia="Times New Roman" w:cs="Times New Roman"/>
          <w:b/>
          <w:color w:val="000000"/>
        </w:rPr>
        <w:t>§ 32</w:t>
      </w:r>
    </w:p>
    <w:p w14:paraId="5564A5BB" w14:textId="77777777" w:rsidR="008B1C66" w:rsidRDefault="00F0363E">
      <w:pPr>
        <w:spacing w:after="120" w:line="276" w:lineRule="auto"/>
        <w:jc w:val="both"/>
        <w:rPr>
          <w:rFonts w:eastAsia="Times New Roman" w:cs="Times New Roman"/>
          <w:lang w:eastAsia="pl-PL"/>
        </w:rPr>
      </w:pPr>
      <w:r>
        <w:rPr>
          <w:rFonts w:eastAsia="Times New Roman" w:cs="Times New Roman"/>
          <w:lang w:eastAsia="pl-PL"/>
        </w:rPr>
        <w:t xml:space="preserve">1.W przypadku, gdy Zarząd Województwa uwzględni protest i skieruje wniosek do LGD zgodnie </w:t>
      </w:r>
      <w:r>
        <w:rPr>
          <w:rFonts w:eastAsia="Times New Roman" w:cs="Times New Roman"/>
          <w:lang w:eastAsia="pl-PL"/>
        </w:rPr>
        <w:br/>
      </w:r>
      <w:r>
        <w:rPr>
          <w:rFonts w:eastAsia="Times New Roman" w:cs="Times New Roman"/>
          <w:lang w:eastAsia="pl-PL"/>
        </w:rPr>
        <w:lastRenderedPageBreak/>
        <w:t>z art. 22e ust. 2 ustawy o RLKS, Zarząd informuje Przewodniczącego Rady o konieczności zwołania posiedzenia Rady.</w:t>
      </w:r>
    </w:p>
    <w:p w14:paraId="5564A5BC" w14:textId="77777777" w:rsidR="008B1C66" w:rsidRDefault="00F0363E">
      <w:pPr>
        <w:spacing w:after="120" w:line="276" w:lineRule="auto"/>
        <w:jc w:val="both"/>
        <w:rPr>
          <w:rFonts w:eastAsia="Times New Roman" w:cs="Times New Roman"/>
          <w:lang w:eastAsia="pl-PL"/>
        </w:rPr>
      </w:pPr>
      <w:r>
        <w:rPr>
          <w:rFonts w:eastAsia="Times New Roman" w:cs="Times New Roman"/>
          <w:lang w:eastAsia="pl-PL"/>
        </w:rPr>
        <w:t>2.W przypadku, gdy Zarząd Województwa uwzględnił protest:</w:t>
      </w:r>
    </w:p>
    <w:p w14:paraId="5564A5BD" w14:textId="77777777" w:rsidR="008B1C66" w:rsidRDefault="00F0363E">
      <w:pPr>
        <w:pStyle w:val="Akapitzlist"/>
        <w:spacing w:after="120" w:line="276" w:lineRule="auto"/>
        <w:jc w:val="both"/>
        <w:rPr>
          <w:rFonts w:eastAsia="Times New Roman" w:cs="Times New Roman"/>
          <w:lang w:eastAsia="pl-PL"/>
        </w:rPr>
      </w:pPr>
      <w:r>
        <w:rPr>
          <w:rFonts w:eastAsia="Times New Roman" w:cs="Times New Roman"/>
          <w:lang w:eastAsia="pl-PL"/>
        </w:rPr>
        <w:t>1.uznając za zasadne sformułowane w proteście zarzuty dotyczące spełnienia warunków przyznania pomocy – Rada uwzględnia stanowisko Zarządu Województwa i dokonuje oceny operacji przy zastosowaniu kryteriów wyboru operacji oraz ustala kwotę wsparcia dla operacji;</w:t>
      </w:r>
    </w:p>
    <w:p w14:paraId="5564A5BE" w14:textId="77777777" w:rsidR="008B1C66" w:rsidRDefault="00F0363E">
      <w:pPr>
        <w:pStyle w:val="Akapitzlist"/>
        <w:numPr>
          <w:ilvl w:val="0"/>
          <w:numId w:val="39"/>
        </w:numPr>
        <w:spacing w:after="120" w:line="276" w:lineRule="auto"/>
        <w:jc w:val="both"/>
        <w:rPr>
          <w:rFonts w:eastAsia="Times New Roman" w:cs="Times New Roman"/>
          <w:lang w:eastAsia="pl-PL"/>
        </w:rPr>
      </w:pPr>
      <w:r>
        <w:rPr>
          <w:rFonts w:eastAsia="Times New Roman" w:cs="Times New Roman"/>
          <w:lang w:eastAsia="pl-PL"/>
        </w:rPr>
        <w:t>uznając za zasadne sformułowane w proteście zarzuty dotyczące spełnienia kryteriów wyboru operacji lub ustalenia kwoty wsparcia – Rada dokonuje ponownej oceny operacji w zakresie kryteriów wyboru operacji lub w zakresie ustalenia kwoty wsparcia, z których oceną lub ustaleniem wnioskodawca się nie zgadza.</w:t>
      </w:r>
    </w:p>
    <w:p w14:paraId="5564A5BF" w14:textId="77777777" w:rsidR="008B1C66" w:rsidRDefault="00F0363E">
      <w:pPr>
        <w:pStyle w:val="Akapitzlist"/>
        <w:spacing w:after="120" w:line="276" w:lineRule="auto"/>
        <w:ind w:left="851"/>
        <w:jc w:val="both"/>
        <w:rPr>
          <w:rFonts w:eastAsia="Times New Roman" w:cs="Times New Roman"/>
          <w:lang w:eastAsia="pl-PL"/>
        </w:rPr>
      </w:pPr>
      <w:r>
        <w:rPr>
          <w:rFonts w:eastAsia="Times New Roman" w:cs="Times New Roman"/>
          <w:lang w:eastAsia="pl-PL"/>
        </w:rPr>
        <w:t xml:space="preserve">Wzór uchwały Rady podejmowanej w takich sytuacjach stanowi </w:t>
      </w:r>
      <w:r>
        <w:rPr>
          <w:rFonts w:eastAsia="Times New Roman" w:cs="Times New Roman"/>
          <w:b/>
          <w:bCs/>
          <w:lang w:eastAsia="pl-PL"/>
        </w:rPr>
        <w:t>załącznik procedury wyboru i oceny operacji/ grantobiorców</w:t>
      </w:r>
      <w:r>
        <w:rPr>
          <w:rFonts w:eastAsia="Times New Roman" w:cs="Times New Roman"/>
          <w:lang w:eastAsia="pl-PL"/>
        </w:rPr>
        <w:t>.</w:t>
      </w:r>
      <w:bookmarkStart w:id="10" w:name="_Hlk165616062"/>
      <w:bookmarkEnd w:id="10"/>
    </w:p>
    <w:p w14:paraId="5564A5C0" w14:textId="77777777" w:rsidR="008B1C66" w:rsidRDefault="00F0363E">
      <w:pPr>
        <w:spacing w:after="120" w:line="276" w:lineRule="auto"/>
        <w:jc w:val="both"/>
        <w:rPr>
          <w:rFonts w:eastAsia="Times New Roman" w:cs="Times New Roman"/>
          <w:lang w:eastAsia="pl-PL"/>
        </w:rPr>
      </w:pPr>
      <w:r>
        <w:rPr>
          <w:rFonts w:eastAsia="Times New Roman" w:cs="Times New Roman"/>
          <w:lang w:eastAsia="pl-PL"/>
        </w:rPr>
        <w:t>3.W przypadku dokonania oceny operacji i ustalenia kwoty wsparcia zgodnie z ust. 2 pkt 1 lub w przypadku gdy w wyniku ponownej oceny operacji i ustalenia kwoty wsparcia zgodnie z ust. 2 pkt 2 zmianie uległa liczba punktów przyznanych operacji lub zmianie uległa kwota wsparcia ustalona dla operacji, dokonuje się odpowiedniej zmiany na listach, o których mowa w § 26 ust. 6.</w:t>
      </w:r>
    </w:p>
    <w:p w14:paraId="5564A5C1" w14:textId="77777777" w:rsidR="008B1C66" w:rsidRDefault="00F0363E">
      <w:pPr>
        <w:spacing w:after="120" w:line="276" w:lineRule="auto"/>
        <w:jc w:val="both"/>
        <w:rPr>
          <w:rFonts w:eastAsia="Times New Roman" w:cs="Times New Roman"/>
          <w:lang w:eastAsia="pl-PL"/>
        </w:rPr>
      </w:pPr>
      <w:r>
        <w:rPr>
          <w:rFonts w:eastAsia="Times New Roman" w:cs="Times New Roman"/>
          <w:lang w:eastAsia="pl-PL"/>
        </w:rPr>
        <w:t>4.O wyniku rozpatrzenia oceny operacji i ustalenia kwoty wsparcia zgodnie z ust. 2 pkt 1 lub o wyniku ponownej oceny operacji, o której mowa w ust. 2 pkt 2, Przewodniczący Rady niezwłocznie informuje Biuro, przekazując dokumentację z posiedzenia, w tym podjęte uchwały. Biuro i Zarząd podejmują stosowne działania, zgodnie z procedurą przeprowadzania naborów wniosków i wyboru operacji stanowiącą odrębny dokument.</w:t>
      </w:r>
    </w:p>
    <w:p w14:paraId="5564A5C3" w14:textId="2478AC61" w:rsidR="008B1C66" w:rsidRDefault="00F0363E" w:rsidP="0031077F">
      <w:pPr>
        <w:spacing w:after="120" w:line="276" w:lineRule="auto"/>
        <w:jc w:val="both"/>
        <w:rPr>
          <w:rFonts w:eastAsia="Times New Roman" w:cs="Times New Roman"/>
          <w:lang w:eastAsia="pl-PL"/>
        </w:rPr>
      </w:pPr>
      <w:r>
        <w:rPr>
          <w:rFonts w:eastAsia="Times New Roman" w:cs="Times New Roman"/>
          <w:lang w:eastAsia="pl-PL"/>
        </w:rPr>
        <w:t>5.Do posiedzenia Rady, o którym mowa w tym paragrafie, stosuje się odpowiednio przepisy regulaminu dotyczące posiedzeń zwoływanych w celu oceny operacji.</w:t>
      </w:r>
      <w:bookmarkStart w:id="11" w:name="_Hlk165615499"/>
      <w:bookmarkEnd w:id="11"/>
    </w:p>
    <w:p w14:paraId="5564A5C4" w14:textId="77777777" w:rsidR="008B1C66" w:rsidRDefault="008B1C66">
      <w:pPr>
        <w:spacing w:line="276" w:lineRule="auto"/>
        <w:jc w:val="both"/>
        <w:rPr>
          <w:rFonts w:eastAsia="Times New Roman" w:cs="Times New Roman"/>
          <w:color w:val="000000"/>
        </w:rPr>
      </w:pPr>
    </w:p>
    <w:p w14:paraId="5564A5C5" w14:textId="77777777" w:rsidR="008B1C66" w:rsidRDefault="00F0363E">
      <w:pPr>
        <w:spacing w:after="120" w:line="276" w:lineRule="auto"/>
        <w:jc w:val="center"/>
        <w:rPr>
          <w:rFonts w:eastAsia="Times New Roman" w:cs="Times New Roman"/>
          <w:b/>
          <w:bCs/>
          <w:color w:val="000000"/>
        </w:rPr>
      </w:pPr>
      <w:r>
        <w:rPr>
          <w:rFonts w:eastAsia="Times New Roman" w:cs="Times New Roman"/>
          <w:b/>
          <w:bCs/>
          <w:color w:val="000000"/>
        </w:rPr>
        <w:t>Rozdział XI</w:t>
      </w:r>
    </w:p>
    <w:p w14:paraId="5564A5C6" w14:textId="77777777" w:rsidR="008B1C66" w:rsidRDefault="00F0363E">
      <w:pPr>
        <w:spacing w:after="120" w:line="276" w:lineRule="auto"/>
        <w:ind w:left="15"/>
        <w:jc w:val="center"/>
        <w:rPr>
          <w:rFonts w:eastAsia="Times New Roman" w:cs="Times New Roman"/>
          <w:b/>
          <w:color w:val="000000"/>
        </w:rPr>
      </w:pPr>
      <w:r>
        <w:rPr>
          <w:rFonts w:eastAsia="Times New Roman" w:cs="Times New Roman"/>
          <w:b/>
          <w:color w:val="000000"/>
        </w:rPr>
        <w:t xml:space="preserve">Postępowanie w razie wniesienia odwołania od rozstrzygnięcia Rady </w:t>
      </w:r>
      <w:r>
        <w:rPr>
          <w:rFonts w:eastAsia="Times New Roman" w:cs="Times New Roman"/>
          <w:b/>
          <w:color w:val="000000"/>
        </w:rPr>
        <w:br/>
        <w:t>w sprawie oceny zadania objętego wnioskiem o przyznanie grantu w ramach konkursu przeprowadzonego w związku z realizacją projektu grantowego</w:t>
      </w:r>
    </w:p>
    <w:p w14:paraId="5564A5C7" w14:textId="77777777" w:rsidR="008B1C66" w:rsidRDefault="008B1C66">
      <w:pPr>
        <w:spacing w:line="276" w:lineRule="auto"/>
        <w:jc w:val="both"/>
        <w:rPr>
          <w:rFonts w:eastAsia="Times New Roman" w:cs="Times New Roman"/>
          <w:b/>
          <w:color w:val="000000"/>
        </w:rPr>
      </w:pPr>
    </w:p>
    <w:p w14:paraId="5564A5C8" w14:textId="77777777" w:rsidR="008B1C66" w:rsidRDefault="00F0363E">
      <w:pPr>
        <w:spacing w:after="120" w:line="276" w:lineRule="auto"/>
        <w:jc w:val="center"/>
        <w:rPr>
          <w:rFonts w:eastAsia="Times New Roman" w:cs="Times New Roman"/>
          <w:b/>
          <w:color w:val="000000"/>
        </w:rPr>
      </w:pPr>
      <w:r>
        <w:rPr>
          <w:rFonts w:eastAsia="Times New Roman" w:cs="Times New Roman"/>
          <w:b/>
          <w:color w:val="000000"/>
        </w:rPr>
        <w:t>§ 33</w:t>
      </w:r>
    </w:p>
    <w:p w14:paraId="5564A5C9"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Od rozstrzygnięć Rady </w:t>
      </w:r>
      <w:r>
        <w:rPr>
          <w:rFonts w:eastAsia="Times New Roman" w:cs="Times New Roman"/>
          <w:lang w:eastAsia="pl-PL"/>
        </w:rPr>
        <w:t>w sprawie oceny zadania objętego wnioskiem o przyznanie grantu w ramach konkursu przeprowadzonego w związku z realizacją projektu grantowego wnioskodawcy przysługuje prawo do wniesienia odwołania.</w:t>
      </w:r>
    </w:p>
    <w:p w14:paraId="5564A5CA"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t xml:space="preserve">W przypadku wniesienia odwołania o którym mowa </w:t>
      </w:r>
      <w:r>
        <w:rPr>
          <w:rFonts w:cs="Times New Roman"/>
        </w:rPr>
        <w:t xml:space="preserve">w ust. 1, </w:t>
      </w:r>
      <w:r>
        <w:rPr>
          <w:rFonts w:eastAsia="Times New Roman" w:cs="Times New Roman"/>
          <w:color w:val="000000"/>
        </w:rPr>
        <w:t xml:space="preserve">Zarząd –  po dokonaniu przez Biuro oceny formalnej złożonego odwołania obejmującego ocenę, czy odwołanie zostało złożone przez upoważnioną osobę, w terminie określonym w ogłoszeniu o konkursie, zawierając wszystkie niezbędne elementy – informuje Przewodniczącego Rady o konieczności zwołania posiedzenia Rady w celu dokonania ponownej oceny zadania w zakresie zarzutów podniesionych w odwołaniu. Posiedzenie Rady powinno się odbyć przed upływem 14 dni od dnia otrzymania odwołania. Wzór deklaracji bezstronności pracownika stanowi </w:t>
      </w:r>
      <w:r>
        <w:rPr>
          <w:rFonts w:eastAsia="Times New Roman" w:cs="Times New Roman"/>
          <w:b/>
          <w:bCs/>
          <w:color w:val="000000"/>
        </w:rPr>
        <w:t>załącznik nr 3 do regulaminu.</w:t>
      </w:r>
    </w:p>
    <w:p w14:paraId="5564A5CB"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color w:val="000000"/>
        </w:rPr>
        <w:lastRenderedPageBreak/>
        <w:t>W przypadku zwołania posiedzenia Rady w celu rozpatrzenia odwołania, Rada dokonuje ponownej oceny operacji tylko w zakresie zarzutów podniesionych w odwołaniu</w:t>
      </w:r>
      <w:r>
        <w:rPr>
          <w:rFonts w:eastAsia="Times New Roman" w:cs="Times New Roman"/>
          <w:lang w:eastAsia="pl-PL"/>
        </w:rPr>
        <w:t>.</w:t>
      </w:r>
    </w:p>
    <w:p w14:paraId="5564A5CC"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t xml:space="preserve">Rada przeprowadza głosowanie dotyczące uwzględniania poszczególnych zarzutów, o których </w:t>
      </w:r>
      <w:r>
        <w:rPr>
          <w:rFonts w:cs="Times New Roman"/>
        </w:rPr>
        <w:t>mowa w ust. 3, i podejmuje stosowną</w:t>
      </w:r>
      <w:r>
        <w:rPr>
          <w:rFonts w:eastAsia="Times New Roman" w:cs="Times New Roman"/>
          <w:lang w:eastAsia="pl-PL"/>
        </w:rPr>
        <w:t xml:space="preserve"> uchwałę dotyczącą rozpatrzenia odwołania. Wzór takiej uchwały stanowi </w:t>
      </w:r>
      <w:r>
        <w:rPr>
          <w:rFonts w:eastAsia="Times New Roman" w:cs="Times New Roman"/>
          <w:b/>
          <w:lang w:eastAsia="pl-PL"/>
        </w:rPr>
        <w:t>załącznik do procedury wyboru i oceny operacji/ grantobiorców</w:t>
      </w:r>
      <w:r>
        <w:rPr>
          <w:rFonts w:eastAsia="Times New Roman" w:cs="Times New Roman"/>
          <w:lang w:eastAsia="pl-PL"/>
        </w:rPr>
        <w:t>.</w:t>
      </w:r>
    </w:p>
    <w:p w14:paraId="5564A5CD"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t xml:space="preserve">W przypadku uwzględnienia zarzutów, o których </w:t>
      </w:r>
      <w:r>
        <w:rPr>
          <w:rFonts w:cs="Times New Roman"/>
        </w:rPr>
        <w:t xml:space="preserve">mowa w ust. 3, Rada </w:t>
      </w:r>
      <w:r>
        <w:rPr>
          <w:rFonts w:eastAsia="Times New Roman" w:cs="Times New Roman"/>
          <w:lang w:eastAsia="pl-PL"/>
        </w:rPr>
        <w:t>zmienia ocenę zadania w zakresie, w jakim uwzględnione zarzuty miały wpływ na ocenę poszczególnych elementów zadania.</w:t>
      </w:r>
    </w:p>
    <w:p w14:paraId="5564A5CE" w14:textId="77777777" w:rsidR="008B1C66" w:rsidRDefault="00F0363E">
      <w:pPr>
        <w:numPr>
          <w:ilvl w:val="0"/>
          <w:numId w:val="37"/>
        </w:numPr>
        <w:tabs>
          <w:tab w:val="clear" w:pos="720"/>
        </w:tabs>
        <w:spacing w:after="120" w:line="276" w:lineRule="auto"/>
        <w:ind w:left="426" w:hanging="426"/>
        <w:jc w:val="both"/>
        <w:rPr>
          <w:rFonts w:cs="Times New Roman"/>
        </w:rPr>
      </w:pPr>
      <w:r>
        <w:rPr>
          <w:rFonts w:cs="Times New Roman"/>
        </w:rPr>
        <w:t xml:space="preserve">W wyniku złożenia odwołania ocena </w:t>
      </w:r>
      <w:proofErr w:type="spellStart"/>
      <w:r>
        <w:rPr>
          <w:rFonts w:cs="Times New Roman"/>
        </w:rPr>
        <w:t>grantobiorcy</w:t>
      </w:r>
      <w:proofErr w:type="spellEnd"/>
      <w:r>
        <w:rPr>
          <w:rFonts w:cs="Times New Roman"/>
        </w:rPr>
        <w:t xml:space="preserve"> i zadania grantowego nie może się pogorszyć.</w:t>
      </w:r>
    </w:p>
    <w:p w14:paraId="5564A5CF" w14:textId="77777777" w:rsidR="008B1C66" w:rsidRDefault="00F0363E">
      <w:pPr>
        <w:numPr>
          <w:ilvl w:val="0"/>
          <w:numId w:val="37"/>
        </w:numPr>
        <w:tabs>
          <w:tab w:val="clear" w:pos="720"/>
        </w:tabs>
        <w:spacing w:after="120" w:line="276" w:lineRule="auto"/>
        <w:ind w:left="426" w:hanging="426"/>
        <w:jc w:val="both"/>
        <w:rPr>
          <w:rFonts w:eastAsia="Times New Roman" w:cs="Times New Roman"/>
          <w:lang w:eastAsia="pl-PL"/>
        </w:rPr>
      </w:pPr>
      <w:r>
        <w:rPr>
          <w:rFonts w:eastAsia="Times New Roman" w:cs="Times New Roman"/>
          <w:lang w:eastAsia="pl-PL"/>
        </w:rPr>
        <w:t>Na realizację zadania, którego dotyczyło uwzględnione odwołanie, można przyznać grant jedynie w zakresie kwoty, jaka pozostała do rozdysponowania biorąc pod uwagę limit podany w ogłoszeniu o konkursie i kwotę przyznanych dotychczas grantów, przy czym w przypadku uwzględnienia więcej niż jednego odwołania, granty przyznaje się począwszy od zadania, które w wyniku rozpatrzenia odwołania zostało ocenione najwyżej.</w:t>
      </w:r>
    </w:p>
    <w:p w14:paraId="5564A5D0" w14:textId="77777777" w:rsidR="008B1C66" w:rsidRDefault="00F0363E">
      <w:pPr>
        <w:numPr>
          <w:ilvl w:val="0"/>
          <w:numId w:val="37"/>
        </w:numPr>
        <w:tabs>
          <w:tab w:val="clear" w:pos="720"/>
        </w:tabs>
        <w:spacing w:after="120" w:line="276" w:lineRule="auto"/>
        <w:ind w:left="426" w:hanging="426"/>
        <w:jc w:val="both"/>
        <w:rPr>
          <w:rFonts w:eastAsia="Times New Roman" w:cs="Times New Roman"/>
          <w:color w:val="000000"/>
        </w:rPr>
      </w:pPr>
      <w:r>
        <w:rPr>
          <w:rFonts w:eastAsia="Times New Roman" w:cs="Times New Roman"/>
          <w:lang w:eastAsia="pl-PL"/>
        </w:rPr>
        <w:t xml:space="preserve">W przypadku nieuwzględnienia zarzutów, o których </w:t>
      </w:r>
      <w:r>
        <w:rPr>
          <w:rFonts w:cs="Times New Roman"/>
        </w:rPr>
        <w:t>mowa w ust. 3, Rada</w:t>
      </w:r>
      <w:r>
        <w:rPr>
          <w:rFonts w:eastAsia="Times New Roman" w:cs="Times New Roman"/>
          <w:lang w:eastAsia="pl-PL"/>
        </w:rPr>
        <w:t xml:space="preserve"> podtrzymuje poprzednio dokonaną ocenę.</w:t>
      </w:r>
    </w:p>
    <w:p w14:paraId="5564A5D1" w14:textId="77777777" w:rsidR="008B1C66" w:rsidRDefault="00F0363E">
      <w:pPr>
        <w:numPr>
          <w:ilvl w:val="0"/>
          <w:numId w:val="37"/>
        </w:numPr>
        <w:tabs>
          <w:tab w:val="clear" w:pos="720"/>
        </w:tabs>
        <w:spacing w:after="120" w:line="276" w:lineRule="auto"/>
        <w:ind w:left="426" w:hanging="426"/>
        <w:jc w:val="both"/>
        <w:rPr>
          <w:rFonts w:eastAsia="Times New Roman" w:cs="Times New Roman"/>
          <w:lang w:eastAsia="pl-PL"/>
        </w:rPr>
      </w:pPr>
      <w:r>
        <w:rPr>
          <w:rFonts w:eastAsia="Times New Roman" w:cs="Times New Roman"/>
          <w:lang w:eastAsia="pl-PL"/>
        </w:rPr>
        <w:t xml:space="preserve">O wyniku rozpatrzenia odwołania Przewodniczący Rady niezwłocznie informuje Biuro, które podejmuje stosowne działania, zgodnie z </w:t>
      </w:r>
      <w:r>
        <w:rPr>
          <w:rFonts w:eastAsia="Times New Roman" w:cs="Times New Roman"/>
          <w:color w:val="000000"/>
        </w:rPr>
        <w:t>procedurą realizacji projektów grantowych</w:t>
      </w:r>
      <w:r>
        <w:rPr>
          <w:rFonts w:eastAsia="Times New Roman" w:cs="Times New Roman"/>
          <w:lang w:eastAsia="pl-PL"/>
        </w:rPr>
        <w:t>.</w:t>
      </w:r>
    </w:p>
    <w:p w14:paraId="5564A5D3" w14:textId="1104A2DF" w:rsidR="008B1C66" w:rsidRPr="0031077F" w:rsidRDefault="00F0363E" w:rsidP="0031077F">
      <w:pPr>
        <w:numPr>
          <w:ilvl w:val="0"/>
          <w:numId w:val="37"/>
        </w:numPr>
        <w:tabs>
          <w:tab w:val="clear" w:pos="720"/>
        </w:tabs>
        <w:spacing w:after="120" w:line="276" w:lineRule="auto"/>
        <w:ind w:left="426" w:hanging="426"/>
        <w:jc w:val="both"/>
        <w:rPr>
          <w:rFonts w:eastAsia="Times New Roman" w:cs="Times New Roman"/>
          <w:lang w:eastAsia="pl-PL"/>
        </w:rPr>
      </w:pPr>
      <w:r>
        <w:rPr>
          <w:rFonts w:eastAsia="Times New Roman" w:cs="Times New Roman"/>
          <w:lang w:eastAsia="pl-PL"/>
        </w:rPr>
        <w:t>Do posiedzenia Rady, o którym mowa w tym paragrafie, stosuje się odpowiednio przepisy regulaminu dotyczące posiedzeń zwoływanych w celu oceny operacji.</w:t>
      </w:r>
    </w:p>
    <w:p w14:paraId="5564A5D4" w14:textId="77777777" w:rsidR="008B1C66" w:rsidRDefault="008B1C66">
      <w:pPr>
        <w:spacing w:line="276" w:lineRule="auto"/>
        <w:jc w:val="both"/>
        <w:rPr>
          <w:rFonts w:eastAsia="Times New Roman" w:cs="Times New Roman"/>
          <w:lang w:eastAsia="pl-PL"/>
        </w:rPr>
      </w:pPr>
    </w:p>
    <w:p w14:paraId="5564A5D5" w14:textId="77777777" w:rsidR="008B1C66" w:rsidRDefault="00F0363E">
      <w:pPr>
        <w:spacing w:after="120" w:line="276" w:lineRule="auto"/>
        <w:jc w:val="center"/>
        <w:rPr>
          <w:rFonts w:eastAsia="TimesNewRomanPSMT" w:cs="Times New Roman"/>
          <w:b/>
          <w:bCs/>
          <w:color w:val="000000"/>
        </w:rPr>
      </w:pPr>
      <w:r>
        <w:rPr>
          <w:rFonts w:eastAsia="TimesNewRomanPSMT" w:cs="Times New Roman"/>
          <w:b/>
          <w:bCs/>
          <w:color w:val="000000"/>
        </w:rPr>
        <w:t>Rozdział XII</w:t>
      </w:r>
    </w:p>
    <w:p w14:paraId="5564A5D6" w14:textId="77777777" w:rsidR="008B1C66" w:rsidRDefault="00F0363E">
      <w:pPr>
        <w:spacing w:after="120" w:line="276" w:lineRule="auto"/>
        <w:ind w:left="15"/>
        <w:jc w:val="center"/>
        <w:rPr>
          <w:rFonts w:eastAsia="TimesNewRomanPSMT" w:cs="Times New Roman"/>
          <w:b/>
          <w:color w:val="000000"/>
        </w:rPr>
      </w:pPr>
      <w:r>
        <w:rPr>
          <w:rFonts w:eastAsia="TimesNewRomanPSMT" w:cs="Times New Roman"/>
          <w:b/>
          <w:color w:val="000000"/>
        </w:rPr>
        <w:t>Postanowienia końcowe</w:t>
      </w:r>
    </w:p>
    <w:p w14:paraId="5564A5D7" w14:textId="77777777" w:rsidR="008B1C66" w:rsidRDefault="008B1C66">
      <w:pPr>
        <w:spacing w:line="276" w:lineRule="auto"/>
        <w:jc w:val="both"/>
        <w:rPr>
          <w:rFonts w:eastAsia="Times New Roman" w:cs="Times New Roman"/>
          <w:lang w:eastAsia="pl-PL"/>
        </w:rPr>
      </w:pPr>
    </w:p>
    <w:p w14:paraId="5564A5D8" w14:textId="77777777" w:rsidR="008B1C66" w:rsidRDefault="00F0363E">
      <w:pPr>
        <w:spacing w:after="120" w:line="276" w:lineRule="auto"/>
        <w:jc w:val="center"/>
        <w:rPr>
          <w:rFonts w:eastAsia="Times New Roman" w:cs="Times New Roman"/>
          <w:b/>
          <w:lang w:eastAsia="pl-PL"/>
        </w:rPr>
      </w:pPr>
      <w:r>
        <w:rPr>
          <w:rFonts w:eastAsia="Times New Roman" w:cs="Times New Roman"/>
          <w:b/>
          <w:lang w:eastAsia="pl-PL"/>
        </w:rPr>
        <w:t>§ 34</w:t>
      </w:r>
    </w:p>
    <w:p w14:paraId="5564A5D9" w14:textId="77777777" w:rsidR="008B1C66" w:rsidRDefault="00F0363E">
      <w:pPr>
        <w:spacing w:after="120" w:line="276" w:lineRule="auto"/>
        <w:jc w:val="both"/>
      </w:pPr>
      <w:r>
        <w:rPr>
          <w:rFonts w:eastAsia="Times New Roman" w:cs="Times New Roman"/>
          <w:lang w:eastAsia="pl-PL"/>
        </w:rPr>
        <w:t xml:space="preserve">W zakresie nieuregulowanym w niniejszym regulaminie zastosowanie znajdują przepisy ustawy o RLKS oraz postanowienia Wytycznych podstawowych, Wytycznych szczegółowych oraz innych wytycznych Ministra Rolnictwa i Rozwoju Wsi </w:t>
      </w:r>
      <w:bookmarkStart w:id="12" w:name="_Hlk165449166"/>
      <w:r>
        <w:rPr>
          <w:rFonts w:eastAsia="Times New Roman" w:cs="Times New Roman"/>
          <w:lang w:eastAsia="pl-PL"/>
        </w:rPr>
        <w:t xml:space="preserve">dotyczących zasad wdrażania </w:t>
      </w:r>
      <w:r>
        <w:rPr>
          <w:rFonts w:cs="Times New Roman"/>
          <w:bCs/>
        </w:rPr>
        <w:t>interwencji I.13.1 LEADER/Rozwój Lokalny Kierowany przez Społeczność (RLKS) w ramach PS WPR</w:t>
      </w:r>
      <w:bookmarkEnd w:id="12"/>
      <w:r>
        <w:rPr>
          <w:rFonts w:cs="Times New Roman"/>
          <w:bCs/>
        </w:rPr>
        <w:t>.</w:t>
      </w:r>
    </w:p>
    <w:sectPr w:rsidR="008B1C66">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283" w:footer="708" w:gutter="0"/>
      <w:cols w:space="708"/>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66BDF" w14:textId="77777777" w:rsidR="009F43D6" w:rsidRDefault="009F43D6">
      <w:r>
        <w:separator/>
      </w:r>
    </w:p>
  </w:endnote>
  <w:endnote w:type="continuationSeparator" w:id="0">
    <w:p w14:paraId="77E2DCE7" w14:textId="77777777" w:rsidR="009F43D6" w:rsidRDefault="009F4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angal">
    <w:panose1 w:val="00000400000000000000"/>
    <w:charset w:val="01"/>
    <w:family w:val="roman"/>
    <w:pitch w:val="variable"/>
    <w:sig w:usb0="00002000" w:usb1="00000000" w:usb2="00000000" w:usb3="00000000" w:csb0="0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00"/>
    <w:family w:val="roman"/>
    <w:notTrueType/>
    <w:pitch w:val="default"/>
  </w:font>
  <w:font w:name="TimesNewRomanPSM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672A4" w14:textId="77777777" w:rsidR="00537573" w:rsidRDefault="005375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4A5E1" w14:textId="77777777" w:rsidR="008B1C66" w:rsidRDefault="00F0363E">
    <w:pPr>
      <w:pStyle w:val="Stopka"/>
      <w:jc w:val="right"/>
    </w:pPr>
    <w:r>
      <w:fldChar w:fldCharType="begin"/>
    </w:r>
    <w:r>
      <w:instrText>PAGE</w:instrText>
    </w:r>
    <w:r>
      <w:fldChar w:fldCharType="separate"/>
    </w:r>
    <w:r>
      <w:t>26</w:t>
    </w:r>
    <w:r>
      <w:fldChar w:fldCharType="end"/>
    </w:r>
  </w:p>
  <w:p w14:paraId="5564A5E2" w14:textId="77777777" w:rsidR="008B1C66" w:rsidRDefault="008B1C66">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543B2" w14:textId="77777777" w:rsidR="00537573" w:rsidRDefault="0053757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B7527" w14:textId="77777777" w:rsidR="009F43D6" w:rsidRDefault="009F43D6">
      <w:r>
        <w:separator/>
      </w:r>
    </w:p>
  </w:footnote>
  <w:footnote w:type="continuationSeparator" w:id="0">
    <w:p w14:paraId="1E97FA68" w14:textId="77777777" w:rsidR="009F43D6" w:rsidRDefault="009F4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F36DD" w14:textId="77777777" w:rsidR="00537573" w:rsidRDefault="0053757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4A5E0" w14:textId="6D0E6F6F" w:rsidR="008B1C66" w:rsidRDefault="00F0363E">
    <w:pPr>
      <w:pStyle w:val="Nagwek"/>
      <w:ind w:left="5672"/>
      <w:rPr>
        <w:sz w:val="18"/>
        <w:szCs w:val="18"/>
      </w:rPr>
    </w:pPr>
    <w:r>
      <w:rPr>
        <w:color w:val="FF0000"/>
      </w:rPr>
      <w:tab/>
    </w:r>
    <w:r>
      <w:rPr>
        <w:color w:val="FF0000"/>
        <w:sz w:val="18"/>
        <w:szCs w:val="18"/>
      </w:rPr>
      <w:tab/>
    </w:r>
    <w:r>
      <w:rPr>
        <w:sz w:val="18"/>
        <w:szCs w:val="18"/>
      </w:rPr>
      <w:t xml:space="preserve">Załącznik do uchwały nr </w:t>
    </w:r>
    <w:r w:rsidR="00537573">
      <w:rPr>
        <w:sz w:val="18"/>
        <w:szCs w:val="18"/>
      </w:rPr>
      <w:t>174</w:t>
    </w:r>
    <w:r>
      <w:rPr>
        <w:sz w:val="18"/>
        <w:szCs w:val="18"/>
      </w:rPr>
      <w:t xml:space="preserve"> </w:t>
    </w:r>
    <w:r w:rsidR="00537573">
      <w:rPr>
        <w:sz w:val="18"/>
        <w:szCs w:val="18"/>
      </w:rPr>
      <w:t>WZC</w:t>
    </w:r>
    <w:r>
      <w:rPr>
        <w:sz w:val="18"/>
        <w:szCs w:val="18"/>
      </w:rPr>
      <w:t xml:space="preserve"> LGD „Górna Prosna” z dnia </w:t>
    </w:r>
    <w:r w:rsidR="00923E9C">
      <w:rPr>
        <w:sz w:val="18"/>
        <w:szCs w:val="18"/>
      </w:rPr>
      <w:t>29</w:t>
    </w:r>
    <w:r>
      <w:rPr>
        <w:sz w:val="18"/>
        <w:szCs w:val="18"/>
      </w:rPr>
      <w:t>.0</w:t>
    </w:r>
    <w:r w:rsidR="00923E9C">
      <w:rPr>
        <w:sz w:val="18"/>
        <w:szCs w:val="18"/>
      </w:rPr>
      <w:t>4</w:t>
    </w:r>
    <w:r>
      <w:rPr>
        <w:sz w:val="18"/>
        <w:szCs w:val="18"/>
      </w:rPr>
      <w:t>.202</w:t>
    </w:r>
    <w:r w:rsidR="00227050">
      <w:rPr>
        <w:sz w:val="18"/>
        <w:szCs w:val="18"/>
      </w:rPr>
      <w:t>5</w:t>
    </w:r>
    <w:r>
      <w:rPr>
        <w:sz w:val="18"/>
        <w:szCs w:val="18"/>
      </w:rPr>
      <w:t xml:space="preserve"> 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2602A" w14:textId="77777777" w:rsidR="00537573" w:rsidRDefault="0053757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10C18"/>
    <w:multiLevelType w:val="multilevel"/>
    <w:tmpl w:val="3CAAB22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56760DE"/>
    <w:multiLevelType w:val="multilevel"/>
    <w:tmpl w:val="D5C8E3A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7D3642E"/>
    <w:multiLevelType w:val="multilevel"/>
    <w:tmpl w:val="062E555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15:restartNumberingAfterBreak="0">
    <w:nsid w:val="0B963653"/>
    <w:multiLevelType w:val="multilevel"/>
    <w:tmpl w:val="7944C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786"/>
        </w:tabs>
        <w:ind w:left="786"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 w15:restartNumberingAfterBreak="0">
    <w:nsid w:val="0C572910"/>
    <w:multiLevelType w:val="multilevel"/>
    <w:tmpl w:val="04602B1E"/>
    <w:lvl w:ilvl="0">
      <w:start w:val="1"/>
      <w:numFmt w:val="bullet"/>
      <w:lvlText w:val=""/>
      <w:lvlJc w:val="left"/>
      <w:pPr>
        <w:ind w:left="1434" w:hanging="360"/>
      </w:pPr>
      <w:rPr>
        <w:rFonts w:ascii="Symbol" w:hAnsi="Symbol" w:cs="Symbol" w:hint="default"/>
      </w:rPr>
    </w:lvl>
    <w:lvl w:ilvl="1">
      <w:start w:val="1"/>
      <w:numFmt w:val="bullet"/>
      <w:lvlText w:val="o"/>
      <w:lvlJc w:val="left"/>
      <w:pPr>
        <w:ind w:left="2154" w:hanging="360"/>
      </w:pPr>
      <w:rPr>
        <w:rFonts w:ascii="Courier New" w:hAnsi="Courier New" w:cs="Courier New" w:hint="default"/>
      </w:rPr>
    </w:lvl>
    <w:lvl w:ilvl="2">
      <w:start w:val="1"/>
      <w:numFmt w:val="bullet"/>
      <w:lvlText w:val=""/>
      <w:lvlJc w:val="left"/>
      <w:pPr>
        <w:ind w:left="2874" w:hanging="360"/>
      </w:pPr>
      <w:rPr>
        <w:rFonts w:ascii="Wingdings" w:hAnsi="Wingdings" w:cs="Wingdings" w:hint="default"/>
      </w:rPr>
    </w:lvl>
    <w:lvl w:ilvl="3">
      <w:start w:val="1"/>
      <w:numFmt w:val="bullet"/>
      <w:lvlText w:val=""/>
      <w:lvlJc w:val="left"/>
      <w:pPr>
        <w:ind w:left="3594" w:hanging="360"/>
      </w:pPr>
      <w:rPr>
        <w:rFonts w:ascii="Symbol" w:hAnsi="Symbol" w:cs="Symbol" w:hint="default"/>
      </w:rPr>
    </w:lvl>
    <w:lvl w:ilvl="4">
      <w:start w:val="1"/>
      <w:numFmt w:val="bullet"/>
      <w:lvlText w:val="o"/>
      <w:lvlJc w:val="left"/>
      <w:pPr>
        <w:ind w:left="4314" w:hanging="360"/>
      </w:pPr>
      <w:rPr>
        <w:rFonts w:ascii="Courier New" w:hAnsi="Courier New" w:cs="Courier New" w:hint="default"/>
      </w:rPr>
    </w:lvl>
    <w:lvl w:ilvl="5">
      <w:start w:val="1"/>
      <w:numFmt w:val="bullet"/>
      <w:lvlText w:val=""/>
      <w:lvlJc w:val="left"/>
      <w:pPr>
        <w:ind w:left="5034" w:hanging="360"/>
      </w:pPr>
      <w:rPr>
        <w:rFonts w:ascii="Wingdings" w:hAnsi="Wingdings" w:cs="Wingdings" w:hint="default"/>
      </w:rPr>
    </w:lvl>
    <w:lvl w:ilvl="6">
      <w:start w:val="1"/>
      <w:numFmt w:val="bullet"/>
      <w:lvlText w:val=""/>
      <w:lvlJc w:val="left"/>
      <w:pPr>
        <w:ind w:left="5754" w:hanging="360"/>
      </w:pPr>
      <w:rPr>
        <w:rFonts w:ascii="Symbol" w:hAnsi="Symbol" w:cs="Symbol" w:hint="default"/>
      </w:rPr>
    </w:lvl>
    <w:lvl w:ilvl="7">
      <w:start w:val="1"/>
      <w:numFmt w:val="bullet"/>
      <w:lvlText w:val="o"/>
      <w:lvlJc w:val="left"/>
      <w:pPr>
        <w:ind w:left="6474" w:hanging="360"/>
      </w:pPr>
      <w:rPr>
        <w:rFonts w:ascii="Courier New" w:hAnsi="Courier New" w:cs="Courier New" w:hint="default"/>
      </w:rPr>
    </w:lvl>
    <w:lvl w:ilvl="8">
      <w:start w:val="1"/>
      <w:numFmt w:val="bullet"/>
      <w:lvlText w:val=""/>
      <w:lvlJc w:val="left"/>
      <w:pPr>
        <w:ind w:left="7194" w:hanging="360"/>
      </w:pPr>
      <w:rPr>
        <w:rFonts w:ascii="Wingdings" w:hAnsi="Wingdings" w:cs="Wingdings" w:hint="default"/>
      </w:rPr>
    </w:lvl>
  </w:abstractNum>
  <w:abstractNum w:abstractNumId="5" w15:restartNumberingAfterBreak="0">
    <w:nsid w:val="0D302282"/>
    <w:multiLevelType w:val="multilevel"/>
    <w:tmpl w:val="F6582064"/>
    <w:lvl w:ilvl="0">
      <w:start w:val="1"/>
      <w:numFmt w:val="decimal"/>
      <w:lvlText w:val="%1."/>
      <w:lvlJc w:val="left"/>
      <w:pPr>
        <w:tabs>
          <w:tab w:val="num" w:pos="780"/>
        </w:tabs>
        <w:ind w:left="780" w:hanging="420"/>
      </w:pPr>
      <w:rPr>
        <w:rFonts w:cs="Times New Roman"/>
      </w:rPr>
    </w:lvl>
    <w:lvl w:ilvl="1">
      <w:start w:val="1"/>
      <w:numFmt w:val="none"/>
      <w:suff w:val="nothing"/>
      <w:lvlText w:val=""/>
      <w:lvlJc w:val="left"/>
      <w:pPr>
        <w:ind w:left="0" w:firstLine="0"/>
      </w:pPr>
      <w:rPr>
        <w:rFonts w:cs="Times New Roman"/>
      </w:rPr>
    </w:lvl>
    <w:lvl w:ilvl="2">
      <w:start w:val="1"/>
      <w:numFmt w:val="none"/>
      <w:suff w:val="nothing"/>
      <w:lvlText w:val=""/>
      <w:lvlJc w:val="left"/>
      <w:pPr>
        <w:ind w:left="0" w:firstLine="0"/>
      </w:pPr>
      <w:rPr>
        <w:rFonts w:cs="Times New Roman"/>
      </w:rPr>
    </w:lvl>
    <w:lvl w:ilvl="3">
      <w:start w:val="1"/>
      <w:numFmt w:val="none"/>
      <w:suff w:val="nothing"/>
      <w:lvlText w:val=""/>
      <w:lvlJc w:val="left"/>
      <w:pPr>
        <w:ind w:left="0" w:firstLine="0"/>
      </w:pPr>
      <w:rPr>
        <w:rFonts w:cs="Times New Roman"/>
      </w:rPr>
    </w:lvl>
    <w:lvl w:ilvl="4">
      <w:start w:val="1"/>
      <w:numFmt w:val="none"/>
      <w:suff w:val="nothing"/>
      <w:lvlText w:val=""/>
      <w:lvlJc w:val="left"/>
      <w:pPr>
        <w:ind w:left="0" w:firstLine="0"/>
      </w:pPr>
      <w:rPr>
        <w:rFonts w:cs="Times New Roman"/>
      </w:rPr>
    </w:lvl>
    <w:lvl w:ilvl="5">
      <w:start w:val="1"/>
      <w:numFmt w:val="none"/>
      <w:suff w:val="nothing"/>
      <w:lvlText w:val=""/>
      <w:lvlJc w:val="left"/>
      <w:pPr>
        <w:ind w:left="0" w:firstLine="0"/>
      </w:pPr>
      <w:rPr>
        <w:rFonts w:cs="Times New Roman"/>
      </w:rPr>
    </w:lvl>
    <w:lvl w:ilvl="6">
      <w:start w:val="1"/>
      <w:numFmt w:val="none"/>
      <w:suff w:val="nothing"/>
      <w:lvlText w:val=""/>
      <w:lvlJc w:val="left"/>
      <w:pPr>
        <w:ind w:left="0" w:firstLine="0"/>
      </w:pPr>
      <w:rPr>
        <w:rFonts w:cs="Times New Roman"/>
      </w:rPr>
    </w:lvl>
    <w:lvl w:ilvl="7">
      <w:start w:val="1"/>
      <w:numFmt w:val="none"/>
      <w:suff w:val="nothing"/>
      <w:lvlText w:val=""/>
      <w:lvlJc w:val="left"/>
      <w:pPr>
        <w:ind w:left="0" w:firstLine="0"/>
      </w:pPr>
      <w:rPr>
        <w:rFonts w:cs="Times New Roman"/>
      </w:rPr>
    </w:lvl>
    <w:lvl w:ilvl="8">
      <w:start w:val="1"/>
      <w:numFmt w:val="none"/>
      <w:suff w:val="nothing"/>
      <w:lvlText w:val=""/>
      <w:lvlJc w:val="left"/>
      <w:pPr>
        <w:ind w:left="0" w:firstLine="0"/>
      </w:pPr>
      <w:rPr>
        <w:rFonts w:cs="Times New Roman"/>
      </w:rPr>
    </w:lvl>
  </w:abstractNum>
  <w:abstractNum w:abstractNumId="6" w15:restartNumberingAfterBreak="0">
    <w:nsid w:val="0D9B29B0"/>
    <w:multiLevelType w:val="multilevel"/>
    <w:tmpl w:val="1BE6D18E"/>
    <w:lvl w:ilvl="0">
      <w:start w:val="1"/>
      <w:numFmt w:val="decimal"/>
      <w:lvlText w:val="%1)"/>
      <w:lvlJc w:val="left"/>
      <w:pPr>
        <w:ind w:left="1211" w:hanging="360"/>
      </w:pPr>
      <w:rPr>
        <w:rFonts w:cs="Times New Roman"/>
      </w:rPr>
    </w:lvl>
    <w:lvl w:ilvl="1">
      <w:start w:val="1"/>
      <w:numFmt w:val="lowerLetter"/>
      <w:lvlText w:val="%2."/>
      <w:lvlJc w:val="left"/>
      <w:pPr>
        <w:ind w:left="1931" w:hanging="360"/>
      </w:pPr>
      <w:rPr>
        <w:rFonts w:cs="Times New Roman"/>
      </w:rPr>
    </w:lvl>
    <w:lvl w:ilvl="2">
      <w:start w:val="1"/>
      <w:numFmt w:val="lowerRoman"/>
      <w:lvlText w:val="%3."/>
      <w:lvlJc w:val="right"/>
      <w:pPr>
        <w:ind w:left="2651" w:hanging="180"/>
      </w:pPr>
      <w:rPr>
        <w:rFonts w:cs="Times New Roman"/>
      </w:rPr>
    </w:lvl>
    <w:lvl w:ilvl="3">
      <w:start w:val="1"/>
      <w:numFmt w:val="decimal"/>
      <w:lvlText w:val="%4."/>
      <w:lvlJc w:val="left"/>
      <w:pPr>
        <w:ind w:left="3371" w:hanging="360"/>
      </w:pPr>
      <w:rPr>
        <w:rFonts w:cs="Times New Roman"/>
      </w:rPr>
    </w:lvl>
    <w:lvl w:ilvl="4">
      <w:start w:val="1"/>
      <w:numFmt w:val="lowerLetter"/>
      <w:lvlText w:val="%5."/>
      <w:lvlJc w:val="left"/>
      <w:pPr>
        <w:ind w:left="4091" w:hanging="360"/>
      </w:pPr>
      <w:rPr>
        <w:rFonts w:cs="Times New Roman"/>
      </w:rPr>
    </w:lvl>
    <w:lvl w:ilvl="5">
      <w:start w:val="1"/>
      <w:numFmt w:val="lowerRoman"/>
      <w:lvlText w:val="%6."/>
      <w:lvlJc w:val="right"/>
      <w:pPr>
        <w:ind w:left="4811" w:hanging="180"/>
      </w:pPr>
      <w:rPr>
        <w:rFonts w:cs="Times New Roman"/>
      </w:rPr>
    </w:lvl>
    <w:lvl w:ilvl="6">
      <w:start w:val="1"/>
      <w:numFmt w:val="decimal"/>
      <w:lvlText w:val="%7."/>
      <w:lvlJc w:val="left"/>
      <w:pPr>
        <w:ind w:left="5531" w:hanging="360"/>
      </w:pPr>
      <w:rPr>
        <w:rFonts w:cs="Times New Roman"/>
      </w:rPr>
    </w:lvl>
    <w:lvl w:ilvl="7">
      <w:start w:val="1"/>
      <w:numFmt w:val="lowerLetter"/>
      <w:lvlText w:val="%8."/>
      <w:lvlJc w:val="left"/>
      <w:pPr>
        <w:ind w:left="6251" w:hanging="360"/>
      </w:pPr>
      <w:rPr>
        <w:rFonts w:cs="Times New Roman"/>
      </w:rPr>
    </w:lvl>
    <w:lvl w:ilvl="8">
      <w:start w:val="1"/>
      <w:numFmt w:val="lowerRoman"/>
      <w:lvlText w:val="%9."/>
      <w:lvlJc w:val="right"/>
      <w:pPr>
        <w:ind w:left="6971" w:hanging="180"/>
      </w:pPr>
      <w:rPr>
        <w:rFonts w:cs="Times New Roman"/>
      </w:rPr>
    </w:lvl>
  </w:abstractNum>
  <w:abstractNum w:abstractNumId="7" w15:restartNumberingAfterBreak="0">
    <w:nsid w:val="10FC4F29"/>
    <w:multiLevelType w:val="multilevel"/>
    <w:tmpl w:val="2840833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8" w15:restartNumberingAfterBreak="0">
    <w:nsid w:val="10FE26AF"/>
    <w:multiLevelType w:val="multilevel"/>
    <w:tmpl w:val="8B7C8C1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9" w15:restartNumberingAfterBreak="0">
    <w:nsid w:val="12F03668"/>
    <w:multiLevelType w:val="multilevel"/>
    <w:tmpl w:val="E3501B9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15:restartNumberingAfterBreak="0">
    <w:nsid w:val="1FA11C08"/>
    <w:multiLevelType w:val="multilevel"/>
    <w:tmpl w:val="3DDC9524"/>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1" w15:restartNumberingAfterBreak="0">
    <w:nsid w:val="240A4FC8"/>
    <w:multiLevelType w:val="multilevel"/>
    <w:tmpl w:val="D7EAC806"/>
    <w:lvl w:ilvl="0">
      <w:start w:val="5"/>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b w:val="0"/>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2" w15:restartNumberingAfterBreak="0">
    <w:nsid w:val="2C5038FA"/>
    <w:multiLevelType w:val="multilevel"/>
    <w:tmpl w:val="031495A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3" w15:restartNumberingAfterBreak="0">
    <w:nsid w:val="2F3A7226"/>
    <w:multiLevelType w:val="multilevel"/>
    <w:tmpl w:val="ECC008E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 w15:restartNumberingAfterBreak="0">
    <w:nsid w:val="2F906F9B"/>
    <w:multiLevelType w:val="multilevel"/>
    <w:tmpl w:val="A88CA512"/>
    <w:lvl w:ilvl="0">
      <w:start w:val="1"/>
      <w:numFmt w:val="decimal"/>
      <w:lvlText w:val="%1)"/>
      <w:lvlJc w:val="left"/>
      <w:pPr>
        <w:ind w:left="1140" w:hanging="360"/>
      </w:pPr>
      <w:rPr>
        <w:rFonts w:cs="Times New Roman"/>
      </w:rPr>
    </w:lvl>
    <w:lvl w:ilvl="1">
      <w:start w:val="1"/>
      <w:numFmt w:val="lowerLetter"/>
      <w:lvlText w:val="%2."/>
      <w:lvlJc w:val="left"/>
      <w:pPr>
        <w:ind w:left="1860" w:hanging="360"/>
      </w:pPr>
      <w:rPr>
        <w:rFonts w:cs="Times New Roman"/>
      </w:rPr>
    </w:lvl>
    <w:lvl w:ilvl="2">
      <w:start w:val="1"/>
      <w:numFmt w:val="lowerRoman"/>
      <w:lvlText w:val="%3."/>
      <w:lvlJc w:val="right"/>
      <w:pPr>
        <w:ind w:left="2580" w:hanging="180"/>
      </w:pPr>
      <w:rPr>
        <w:rFonts w:cs="Times New Roman"/>
      </w:rPr>
    </w:lvl>
    <w:lvl w:ilvl="3">
      <w:start w:val="1"/>
      <w:numFmt w:val="decimal"/>
      <w:lvlText w:val="%4."/>
      <w:lvlJc w:val="left"/>
      <w:pPr>
        <w:ind w:left="3300" w:hanging="360"/>
      </w:pPr>
      <w:rPr>
        <w:rFonts w:cs="Times New Roman"/>
      </w:rPr>
    </w:lvl>
    <w:lvl w:ilvl="4">
      <w:start w:val="1"/>
      <w:numFmt w:val="lowerLetter"/>
      <w:lvlText w:val="%5."/>
      <w:lvlJc w:val="left"/>
      <w:pPr>
        <w:ind w:left="4020" w:hanging="360"/>
      </w:pPr>
      <w:rPr>
        <w:rFonts w:cs="Times New Roman"/>
      </w:rPr>
    </w:lvl>
    <w:lvl w:ilvl="5">
      <w:start w:val="1"/>
      <w:numFmt w:val="lowerRoman"/>
      <w:lvlText w:val="%6."/>
      <w:lvlJc w:val="right"/>
      <w:pPr>
        <w:ind w:left="4740" w:hanging="180"/>
      </w:pPr>
      <w:rPr>
        <w:rFonts w:cs="Times New Roman"/>
      </w:rPr>
    </w:lvl>
    <w:lvl w:ilvl="6">
      <w:start w:val="1"/>
      <w:numFmt w:val="decimal"/>
      <w:lvlText w:val="%7."/>
      <w:lvlJc w:val="left"/>
      <w:pPr>
        <w:ind w:left="5460" w:hanging="360"/>
      </w:pPr>
      <w:rPr>
        <w:rFonts w:cs="Times New Roman"/>
      </w:rPr>
    </w:lvl>
    <w:lvl w:ilvl="7">
      <w:start w:val="1"/>
      <w:numFmt w:val="lowerLetter"/>
      <w:lvlText w:val="%8."/>
      <w:lvlJc w:val="left"/>
      <w:pPr>
        <w:ind w:left="6180" w:hanging="360"/>
      </w:pPr>
      <w:rPr>
        <w:rFonts w:cs="Times New Roman"/>
      </w:rPr>
    </w:lvl>
    <w:lvl w:ilvl="8">
      <w:start w:val="1"/>
      <w:numFmt w:val="lowerRoman"/>
      <w:lvlText w:val="%9."/>
      <w:lvlJc w:val="right"/>
      <w:pPr>
        <w:ind w:left="6900" w:hanging="180"/>
      </w:pPr>
      <w:rPr>
        <w:rFonts w:cs="Times New Roman"/>
      </w:rPr>
    </w:lvl>
  </w:abstractNum>
  <w:abstractNum w:abstractNumId="15" w15:restartNumberingAfterBreak="0">
    <w:nsid w:val="32F175CE"/>
    <w:multiLevelType w:val="multilevel"/>
    <w:tmpl w:val="4FCE08BA"/>
    <w:lvl w:ilvl="0">
      <w:start w:val="1"/>
      <w:numFmt w:val="decimal"/>
      <w:lvlText w:val="%1."/>
      <w:lvlJc w:val="left"/>
      <w:pPr>
        <w:ind w:left="502" w:hanging="360"/>
      </w:pPr>
      <w:rPr>
        <w:rFonts w:cs="Times New Roman"/>
        <w:b/>
      </w:rPr>
    </w:lvl>
    <w:lvl w:ilvl="1">
      <w:start w:val="1"/>
      <w:numFmt w:val="decimal"/>
      <w:lvlText w:val="%2)"/>
      <w:lvlJc w:val="left"/>
      <w:pPr>
        <w:ind w:left="1440" w:hanging="360"/>
      </w:p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6" w15:restartNumberingAfterBreak="0">
    <w:nsid w:val="32F800B8"/>
    <w:multiLevelType w:val="multilevel"/>
    <w:tmpl w:val="769CCB9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7" w15:restartNumberingAfterBreak="0">
    <w:nsid w:val="36006546"/>
    <w:multiLevelType w:val="multilevel"/>
    <w:tmpl w:val="E80A8A3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8" w15:restartNumberingAfterBreak="0">
    <w:nsid w:val="37CC5ABD"/>
    <w:multiLevelType w:val="multilevel"/>
    <w:tmpl w:val="9AF42B2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9" w15:restartNumberingAfterBreak="0">
    <w:nsid w:val="3C4E3F54"/>
    <w:multiLevelType w:val="multilevel"/>
    <w:tmpl w:val="5EFA3A7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360"/>
        </w:tabs>
        <w:ind w:left="36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0" w15:restartNumberingAfterBreak="0">
    <w:nsid w:val="3F6D07D1"/>
    <w:multiLevelType w:val="multilevel"/>
    <w:tmpl w:val="0EAC2FB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1" w15:restartNumberingAfterBreak="0">
    <w:nsid w:val="3FD809DC"/>
    <w:multiLevelType w:val="multilevel"/>
    <w:tmpl w:val="C44AF62A"/>
    <w:lvl w:ilvl="0">
      <w:start w:val="1"/>
      <w:numFmt w:val="decimal"/>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22" w15:restartNumberingAfterBreak="0">
    <w:nsid w:val="40386316"/>
    <w:multiLevelType w:val="multilevel"/>
    <w:tmpl w:val="1052A05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3" w15:restartNumberingAfterBreak="0">
    <w:nsid w:val="45602A4D"/>
    <w:multiLevelType w:val="multilevel"/>
    <w:tmpl w:val="E9FCF1D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4" w15:restartNumberingAfterBreak="0">
    <w:nsid w:val="470D049A"/>
    <w:multiLevelType w:val="multilevel"/>
    <w:tmpl w:val="5B1CD4E2"/>
    <w:lvl w:ilvl="0">
      <w:start w:val="1"/>
      <w:numFmt w:val="decimal"/>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25" w15:restartNumberingAfterBreak="0">
    <w:nsid w:val="4965692A"/>
    <w:multiLevelType w:val="multilevel"/>
    <w:tmpl w:val="69B812A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6" w15:restartNumberingAfterBreak="0">
    <w:nsid w:val="4B3E4B28"/>
    <w:multiLevelType w:val="multilevel"/>
    <w:tmpl w:val="21BCA656"/>
    <w:lvl w:ilvl="0">
      <w:start w:val="1"/>
      <w:numFmt w:val="decimal"/>
      <w:lvlText w:val="%1)"/>
      <w:lvlJc w:val="left"/>
      <w:pPr>
        <w:ind w:left="1070" w:hanging="36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15:restartNumberingAfterBreak="0">
    <w:nsid w:val="4BB65433"/>
    <w:multiLevelType w:val="multilevel"/>
    <w:tmpl w:val="02A4CCBC"/>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28" w15:restartNumberingAfterBreak="0">
    <w:nsid w:val="4F6D48C6"/>
    <w:multiLevelType w:val="multilevel"/>
    <w:tmpl w:val="2604F46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9" w15:restartNumberingAfterBreak="0">
    <w:nsid w:val="52A70F22"/>
    <w:multiLevelType w:val="multilevel"/>
    <w:tmpl w:val="6B90E694"/>
    <w:lvl w:ilvl="0">
      <w:start w:val="5"/>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b w:val="0"/>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0" w15:restartNumberingAfterBreak="0">
    <w:nsid w:val="52B36F2D"/>
    <w:multiLevelType w:val="multilevel"/>
    <w:tmpl w:val="E022F3D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1" w15:restartNumberingAfterBreak="0">
    <w:nsid w:val="53246190"/>
    <w:multiLevelType w:val="multilevel"/>
    <w:tmpl w:val="275EAB66"/>
    <w:lvl w:ilvl="0">
      <w:start w:val="1"/>
      <w:numFmt w:val="decimal"/>
      <w:lvlText w:val="%1)"/>
      <w:lvlJc w:val="left"/>
      <w:pPr>
        <w:ind w:left="1070" w:hanging="360"/>
      </w:pPr>
      <w:rPr>
        <w:rFonts w:cs="Times New Roman"/>
      </w:rPr>
    </w:lvl>
    <w:lvl w:ilvl="1">
      <w:start w:val="1"/>
      <w:numFmt w:val="lowerLetter"/>
      <w:lvlText w:val="%2."/>
      <w:lvlJc w:val="left"/>
      <w:pPr>
        <w:ind w:left="1790" w:hanging="360"/>
      </w:pPr>
      <w:rPr>
        <w:rFonts w:cs="Times New Roman"/>
      </w:rPr>
    </w:lvl>
    <w:lvl w:ilvl="2">
      <w:start w:val="1"/>
      <w:numFmt w:val="lowerRoman"/>
      <w:lvlText w:val="%3."/>
      <w:lvlJc w:val="right"/>
      <w:pPr>
        <w:ind w:left="2510" w:hanging="180"/>
      </w:pPr>
      <w:rPr>
        <w:rFonts w:cs="Times New Roman"/>
      </w:rPr>
    </w:lvl>
    <w:lvl w:ilvl="3">
      <w:start w:val="1"/>
      <w:numFmt w:val="decimal"/>
      <w:lvlText w:val="%4."/>
      <w:lvlJc w:val="left"/>
      <w:pPr>
        <w:ind w:left="3230" w:hanging="360"/>
      </w:pPr>
      <w:rPr>
        <w:rFonts w:cs="Times New Roman"/>
      </w:rPr>
    </w:lvl>
    <w:lvl w:ilvl="4">
      <w:start w:val="1"/>
      <w:numFmt w:val="lowerLetter"/>
      <w:lvlText w:val="%5."/>
      <w:lvlJc w:val="left"/>
      <w:pPr>
        <w:ind w:left="3950" w:hanging="360"/>
      </w:pPr>
      <w:rPr>
        <w:rFonts w:cs="Times New Roman"/>
      </w:rPr>
    </w:lvl>
    <w:lvl w:ilvl="5">
      <w:start w:val="1"/>
      <w:numFmt w:val="lowerRoman"/>
      <w:lvlText w:val="%6."/>
      <w:lvlJc w:val="right"/>
      <w:pPr>
        <w:ind w:left="4670" w:hanging="180"/>
      </w:pPr>
      <w:rPr>
        <w:rFonts w:cs="Times New Roman"/>
      </w:rPr>
    </w:lvl>
    <w:lvl w:ilvl="6">
      <w:start w:val="1"/>
      <w:numFmt w:val="decimal"/>
      <w:lvlText w:val="%7."/>
      <w:lvlJc w:val="left"/>
      <w:pPr>
        <w:ind w:left="5390" w:hanging="360"/>
      </w:pPr>
      <w:rPr>
        <w:rFonts w:cs="Times New Roman"/>
      </w:rPr>
    </w:lvl>
    <w:lvl w:ilvl="7">
      <w:start w:val="1"/>
      <w:numFmt w:val="lowerLetter"/>
      <w:lvlText w:val="%8."/>
      <w:lvlJc w:val="left"/>
      <w:pPr>
        <w:ind w:left="6110" w:hanging="360"/>
      </w:pPr>
      <w:rPr>
        <w:rFonts w:cs="Times New Roman"/>
      </w:rPr>
    </w:lvl>
    <w:lvl w:ilvl="8">
      <w:start w:val="1"/>
      <w:numFmt w:val="lowerRoman"/>
      <w:lvlText w:val="%9."/>
      <w:lvlJc w:val="right"/>
      <w:pPr>
        <w:ind w:left="6830" w:hanging="180"/>
      </w:pPr>
      <w:rPr>
        <w:rFonts w:cs="Times New Roman"/>
      </w:rPr>
    </w:lvl>
  </w:abstractNum>
  <w:abstractNum w:abstractNumId="32" w15:restartNumberingAfterBreak="0">
    <w:nsid w:val="53B80F36"/>
    <w:multiLevelType w:val="multilevel"/>
    <w:tmpl w:val="852EB2F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3" w15:restartNumberingAfterBreak="0">
    <w:nsid w:val="57D42D97"/>
    <w:multiLevelType w:val="multilevel"/>
    <w:tmpl w:val="7C3EBB6C"/>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34" w15:restartNumberingAfterBreak="0">
    <w:nsid w:val="59305263"/>
    <w:multiLevelType w:val="multilevel"/>
    <w:tmpl w:val="D69845E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5" w15:restartNumberingAfterBreak="0">
    <w:nsid w:val="5B8B267D"/>
    <w:multiLevelType w:val="multilevel"/>
    <w:tmpl w:val="99ACDDDA"/>
    <w:lvl w:ilvl="0">
      <w:start w:val="1"/>
      <w:numFmt w:val="decimal"/>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36" w15:restartNumberingAfterBreak="0">
    <w:nsid w:val="5EF47823"/>
    <w:multiLevelType w:val="multilevel"/>
    <w:tmpl w:val="55286A7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7" w15:restartNumberingAfterBreak="0">
    <w:nsid w:val="60125541"/>
    <w:multiLevelType w:val="multilevel"/>
    <w:tmpl w:val="AF5C0FA4"/>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38" w15:restartNumberingAfterBreak="0">
    <w:nsid w:val="635217E4"/>
    <w:multiLevelType w:val="multilevel"/>
    <w:tmpl w:val="6A860400"/>
    <w:lvl w:ilvl="0">
      <w:start w:val="1"/>
      <w:numFmt w:val="decimal"/>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39" w15:restartNumberingAfterBreak="0">
    <w:nsid w:val="67807581"/>
    <w:multiLevelType w:val="multilevel"/>
    <w:tmpl w:val="70560AAE"/>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0" w15:restartNumberingAfterBreak="0">
    <w:nsid w:val="6BE32181"/>
    <w:multiLevelType w:val="multilevel"/>
    <w:tmpl w:val="FC9C9CCC"/>
    <w:lvl w:ilvl="0">
      <w:start w:val="1"/>
      <w:numFmt w:val="decimal"/>
      <w:lvlText w:val="%1)"/>
      <w:lvlJc w:val="left"/>
      <w:pPr>
        <w:ind w:left="720" w:hanging="36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1" w15:restartNumberingAfterBreak="0">
    <w:nsid w:val="6D3437EA"/>
    <w:multiLevelType w:val="multilevel"/>
    <w:tmpl w:val="A028B49E"/>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42" w15:restartNumberingAfterBreak="0">
    <w:nsid w:val="6F421783"/>
    <w:multiLevelType w:val="multilevel"/>
    <w:tmpl w:val="5ADC069A"/>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15:restartNumberingAfterBreak="0">
    <w:nsid w:val="7010675B"/>
    <w:multiLevelType w:val="multilevel"/>
    <w:tmpl w:val="DA4058F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786"/>
        </w:tabs>
        <w:ind w:left="786"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4" w15:restartNumberingAfterBreak="0">
    <w:nsid w:val="72167F40"/>
    <w:multiLevelType w:val="multilevel"/>
    <w:tmpl w:val="3158526C"/>
    <w:lvl w:ilvl="0">
      <w:start w:val="1"/>
      <w:numFmt w:val="decimal"/>
      <w:lvlText w:val="%1."/>
      <w:lvlJc w:val="left"/>
      <w:pPr>
        <w:ind w:left="720" w:hanging="360"/>
      </w:pPr>
      <w:rPr>
        <w:rFonts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5" w15:restartNumberingAfterBreak="0">
    <w:nsid w:val="73D462B8"/>
    <w:multiLevelType w:val="multilevel"/>
    <w:tmpl w:val="EFEE456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6" w15:restartNumberingAfterBreak="0">
    <w:nsid w:val="758F2DB5"/>
    <w:multiLevelType w:val="multilevel"/>
    <w:tmpl w:val="8DDE0948"/>
    <w:lvl w:ilvl="0">
      <w:start w:val="1"/>
      <w:numFmt w:val="decimal"/>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47" w15:restartNumberingAfterBreak="0">
    <w:nsid w:val="763F2D4B"/>
    <w:multiLevelType w:val="multilevel"/>
    <w:tmpl w:val="A1CCAD1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8" w15:restartNumberingAfterBreak="0">
    <w:nsid w:val="7EB0722A"/>
    <w:multiLevelType w:val="multilevel"/>
    <w:tmpl w:val="F2762C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44579239">
    <w:abstractNumId w:val="8"/>
  </w:num>
  <w:num w:numId="2" w16cid:durableId="1090851157">
    <w:abstractNumId w:val="26"/>
  </w:num>
  <w:num w:numId="3" w16cid:durableId="1546405463">
    <w:abstractNumId w:val="30"/>
  </w:num>
  <w:num w:numId="4" w16cid:durableId="616908185">
    <w:abstractNumId w:val="0"/>
  </w:num>
  <w:num w:numId="5" w16cid:durableId="118885617">
    <w:abstractNumId w:val="34"/>
  </w:num>
  <w:num w:numId="6" w16cid:durableId="1117798784">
    <w:abstractNumId w:val="7"/>
  </w:num>
  <w:num w:numId="7" w16cid:durableId="2135635392">
    <w:abstractNumId w:val="13"/>
  </w:num>
  <w:num w:numId="8" w16cid:durableId="1225338325">
    <w:abstractNumId w:val="18"/>
  </w:num>
  <w:num w:numId="9" w16cid:durableId="959142091">
    <w:abstractNumId w:val="32"/>
  </w:num>
  <w:num w:numId="10" w16cid:durableId="630015049">
    <w:abstractNumId w:val="36"/>
  </w:num>
  <w:num w:numId="11" w16cid:durableId="849872735">
    <w:abstractNumId w:val="11"/>
  </w:num>
  <w:num w:numId="12" w16cid:durableId="179852538">
    <w:abstractNumId w:val="16"/>
  </w:num>
  <w:num w:numId="13" w16cid:durableId="1489714687">
    <w:abstractNumId w:val="28"/>
  </w:num>
  <w:num w:numId="14" w16cid:durableId="294070299">
    <w:abstractNumId w:val="43"/>
  </w:num>
  <w:num w:numId="15" w16cid:durableId="893658691">
    <w:abstractNumId w:val="2"/>
  </w:num>
  <w:num w:numId="16" w16cid:durableId="1331063168">
    <w:abstractNumId w:val="25"/>
  </w:num>
  <w:num w:numId="17" w16cid:durableId="554007882">
    <w:abstractNumId w:val="40"/>
  </w:num>
  <w:num w:numId="18" w16cid:durableId="1161963089">
    <w:abstractNumId w:val="33"/>
  </w:num>
  <w:num w:numId="19" w16cid:durableId="1891333751">
    <w:abstractNumId w:val="20"/>
  </w:num>
  <w:num w:numId="20" w16cid:durableId="1213425056">
    <w:abstractNumId w:val="17"/>
  </w:num>
  <w:num w:numId="21" w16cid:durableId="1194032230">
    <w:abstractNumId w:val="31"/>
  </w:num>
  <w:num w:numId="22" w16cid:durableId="584388722">
    <w:abstractNumId w:val="44"/>
  </w:num>
  <w:num w:numId="23" w16cid:durableId="872037741">
    <w:abstractNumId w:val="47"/>
  </w:num>
  <w:num w:numId="24" w16cid:durableId="1959020445">
    <w:abstractNumId w:val="10"/>
  </w:num>
  <w:num w:numId="25" w16cid:durableId="1418592695">
    <w:abstractNumId w:val="14"/>
  </w:num>
  <w:num w:numId="26" w16cid:durableId="13922079">
    <w:abstractNumId w:val="5"/>
  </w:num>
  <w:num w:numId="27" w16cid:durableId="569388160">
    <w:abstractNumId w:val="46"/>
  </w:num>
  <w:num w:numId="28" w16cid:durableId="1357198407">
    <w:abstractNumId w:val="41"/>
  </w:num>
  <w:num w:numId="29" w16cid:durableId="1588035060">
    <w:abstractNumId w:val="37"/>
  </w:num>
  <w:num w:numId="30" w16cid:durableId="1040470885">
    <w:abstractNumId w:val="27"/>
  </w:num>
  <w:num w:numId="31" w16cid:durableId="268006127">
    <w:abstractNumId w:val="23"/>
  </w:num>
  <w:num w:numId="32" w16cid:durableId="1143082356">
    <w:abstractNumId w:val="1"/>
  </w:num>
  <w:num w:numId="33" w16cid:durableId="1948612883">
    <w:abstractNumId w:val="19"/>
  </w:num>
  <w:num w:numId="34" w16cid:durableId="743531822">
    <w:abstractNumId w:val="35"/>
  </w:num>
  <w:num w:numId="35" w16cid:durableId="1471244772">
    <w:abstractNumId w:val="24"/>
  </w:num>
  <w:num w:numId="36" w16cid:durableId="68116482">
    <w:abstractNumId w:val="21"/>
  </w:num>
  <w:num w:numId="37" w16cid:durableId="732852247">
    <w:abstractNumId w:val="3"/>
  </w:num>
  <w:num w:numId="38" w16cid:durableId="1403286901">
    <w:abstractNumId w:val="6"/>
  </w:num>
  <w:num w:numId="39" w16cid:durableId="1961760644">
    <w:abstractNumId w:val="42"/>
  </w:num>
  <w:num w:numId="40" w16cid:durableId="364524799">
    <w:abstractNumId w:val="39"/>
  </w:num>
  <w:num w:numId="41" w16cid:durableId="185750693">
    <w:abstractNumId w:val="29"/>
  </w:num>
  <w:num w:numId="42" w16cid:durableId="2085684037">
    <w:abstractNumId w:val="22"/>
  </w:num>
  <w:num w:numId="43" w16cid:durableId="1374498306">
    <w:abstractNumId w:val="48"/>
  </w:num>
  <w:num w:numId="44" w16cid:durableId="900142631">
    <w:abstractNumId w:val="12"/>
  </w:num>
  <w:num w:numId="45" w16cid:durableId="406147365">
    <w:abstractNumId w:val="38"/>
  </w:num>
  <w:num w:numId="46" w16cid:durableId="1960646815">
    <w:abstractNumId w:val="45"/>
  </w:num>
  <w:num w:numId="47" w16cid:durableId="359089917">
    <w:abstractNumId w:val="9"/>
  </w:num>
  <w:num w:numId="48" w16cid:durableId="5074477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7682362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C66"/>
    <w:rsid w:val="00005D17"/>
    <w:rsid w:val="001926D5"/>
    <w:rsid w:val="002136CF"/>
    <w:rsid w:val="00227050"/>
    <w:rsid w:val="00284AF6"/>
    <w:rsid w:val="0031077F"/>
    <w:rsid w:val="003E0EC2"/>
    <w:rsid w:val="00456BF6"/>
    <w:rsid w:val="00504C1C"/>
    <w:rsid w:val="00537573"/>
    <w:rsid w:val="006A20E2"/>
    <w:rsid w:val="0073307A"/>
    <w:rsid w:val="00785ADB"/>
    <w:rsid w:val="008A3F48"/>
    <w:rsid w:val="008B1C66"/>
    <w:rsid w:val="008B5676"/>
    <w:rsid w:val="00923E9C"/>
    <w:rsid w:val="009F43D6"/>
    <w:rsid w:val="00AB3717"/>
    <w:rsid w:val="00B703B7"/>
    <w:rsid w:val="00D1065A"/>
    <w:rsid w:val="00DB6DD7"/>
    <w:rsid w:val="00DC2405"/>
    <w:rsid w:val="00DC3C5A"/>
    <w:rsid w:val="00DC5790"/>
    <w:rsid w:val="00DF7B5C"/>
    <w:rsid w:val="00E1347B"/>
    <w:rsid w:val="00F0363E"/>
    <w:rsid w:val="00F11C40"/>
    <w:rsid w:val="00F1580B"/>
    <w:rsid w:val="00F432CB"/>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4A447"/>
  <w15:docId w15:val="{BDD3B363-F8E1-4794-92F2-254AE658D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8318B"/>
    <w:pPr>
      <w:widowControl w:val="0"/>
      <w:suppressAutoHyphens/>
    </w:pPr>
    <w:rPr>
      <w:rFonts w:ascii="Times New Roman" w:eastAsia="SimSun" w:hAnsi="Times New Roman" w:cs="Tahoma"/>
      <w:kern w:val="2"/>
      <w:sz w:val="24"/>
      <w:szCs w:val="24"/>
      <w:lang w:eastAsia="hi-IN" w:bidi="hi-IN"/>
    </w:rPr>
  </w:style>
  <w:style w:type="paragraph" w:styleId="Nagwek2">
    <w:name w:val="heading 2"/>
    <w:basedOn w:val="Normalny"/>
    <w:next w:val="Normalny"/>
    <w:link w:val="Nagwek2Znak"/>
    <w:qFormat/>
    <w:rsid w:val="0018318B"/>
    <w:pPr>
      <w:keepNext/>
      <w:spacing w:before="240" w:after="120"/>
      <w:outlineLvl w:val="1"/>
    </w:pPr>
    <w:rPr>
      <w:b/>
      <w:bCs/>
    </w:rPr>
  </w:style>
  <w:style w:type="paragraph" w:styleId="Nagwek3">
    <w:name w:val="heading 3"/>
    <w:basedOn w:val="Normalny"/>
    <w:next w:val="Normalny"/>
    <w:link w:val="Nagwek3Znak"/>
    <w:unhideWhenUsed/>
    <w:qFormat/>
    <w:locked/>
    <w:rsid w:val="00A07CD3"/>
    <w:pPr>
      <w:keepNext/>
      <w:keepLines/>
      <w:spacing w:before="40"/>
      <w:outlineLvl w:val="2"/>
    </w:pPr>
    <w:rPr>
      <w:rFonts w:asciiTheme="majorHAnsi" w:eastAsiaTheme="majorEastAsia" w:hAnsiTheme="majorHAnsi" w:cs="Mangal"/>
      <w:color w:val="243F60" w:themeColor="accent1" w:themeShade="7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qFormat/>
    <w:locked/>
    <w:rsid w:val="00CC70C2"/>
    <w:rPr>
      <w:rFonts w:ascii="Times New Roman" w:eastAsia="SimSun" w:hAnsi="Times New Roman" w:cs="Tahoma"/>
      <w:b/>
      <w:bCs/>
      <w:kern w:val="2"/>
      <w:sz w:val="24"/>
      <w:szCs w:val="24"/>
      <w:lang w:eastAsia="hi-IN" w:bidi="hi-IN"/>
    </w:rPr>
  </w:style>
  <w:style w:type="character" w:customStyle="1" w:styleId="WW8Num3z0">
    <w:name w:val="WW8Num3z0"/>
    <w:qFormat/>
    <w:rsid w:val="00CC70C2"/>
    <w:rPr>
      <w:rFonts w:ascii="Symbol" w:hAnsi="Symbol"/>
    </w:rPr>
  </w:style>
  <w:style w:type="character" w:customStyle="1" w:styleId="WW8Num30z0">
    <w:name w:val="WW8Num30z0"/>
    <w:qFormat/>
    <w:rsid w:val="00CC70C2"/>
    <w:rPr>
      <w:rFonts w:ascii="Symbol" w:hAnsi="Symbol"/>
    </w:rPr>
  </w:style>
  <w:style w:type="character" w:customStyle="1" w:styleId="WW8Num6z0">
    <w:name w:val="WW8Num6z0"/>
    <w:qFormat/>
    <w:rsid w:val="00CC70C2"/>
    <w:rPr>
      <w:rFonts w:ascii="Symbol" w:hAnsi="Symbol"/>
    </w:rPr>
  </w:style>
  <w:style w:type="character" w:customStyle="1" w:styleId="Znakinumeracji">
    <w:name w:val="Znaki numeracji"/>
    <w:qFormat/>
    <w:rsid w:val="00CC70C2"/>
  </w:style>
  <w:style w:type="character" w:customStyle="1" w:styleId="TekstpodstawowyZnak">
    <w:name w:val="Tekst podstawowy Znak"/>
    <w:basedOn w:val="Domylnaczcionkaakapitu"/>
    <w:link w:val="Tekstpodstawowy"/>
    <w:qFormat/>
    <w:locked/>
    <w:rsid w:val="00CC70C2"/>
    <w:rPr>
      <w:rFonts w:ascii="Times New Roman" w:eastAsia="SimSun" w:hAnsi="Times New Roman"/>
      <w:kern w:val="2"/>
      <w:sz w:val="24"/>
      <w:lang w:eastAsia="hi-IN" w:bidi="hi-IN"/>
    </w:rPr>
  </w:style>
  <w:style w:type="character" w:customStyle="1" w:styleId="NagwekZnak">
    <w:name w:val="Nagłówek Znak"/>
    <w:basedOn w:val="Domylnaczcionkaakapitu"/>
    <w:link w:val="Nagwek"/>
    <w:uiPriority w:val="99"/>
    <w:qFormat/>
    <w:locked/>
    <w:rsid w:val="00CC70C2"/>
    <w:rPr>
      <w:rFonts w:ascii="Times New Roman" w:eastAsia="SimSun" w:hAnsi="Times New Roman" w:cs="Mangal"/>
      <w:kern w:val="2"/>
      <w:sz w:val="21"/>
      <w:szCs w:val="21"/>
      <w:lang w:eastAsia="hi-IN" w:bidi="hi-IN"/>
    </w:rPr>
  </w:style>
  <w:style w:type="character" w:customStyle="1" w:styleId="StopkaZnak">
    <w:name w:val="Stopka Znak"/>
    <w:basedOn w:val="Domylnaczcionkaakapitu"/>
    <w:link w:val="Stopka"/>
    <w:uiPriority w:val="99"/>
    <w:qFormat/>
    <w:locked/>
    <w:rsid w:val="00CC70C2"/>
    <w:rPr>
      <w:rFonts w:ascii="Times New Roman" w:eastAsia="SimSun" w:hAnsi="Times New Roman" w:cs="Mangal"/>
      <w:kern w:val="2"/>
      <w:sz w:val="21"/>
      <w:szCs w:val="21"/>
      <w:lang w:eastAsia="hi-IN" w:bidi="hi-IN"/>
    </w:rPr>
  </w:style>
  <w:style w:type="character" w:customStyle="1" w:styleId="TekstdymkaZnak">
    <w:name w:val="Tekst dymka Znak"/>
    <w:basedOn w:val="Domylnaczcionkaakapitu"/>
    <w:link w:val="Tekstdymka"/>
    <w:uiPriority w:val="99"/>
    <w:semiHidden/>
    <w:qFormat/>
    <w:locked/>
    <w:rsid w:val="00CC70C2"/>
    <w:rPr>
      <w:rFonts w:ascii="Tahoma" w:eastAsia="SimSun" w:hAnsi="Tahoma" w:cs="Mangal"/>
      <w:kern w:val="2"/>
      <w:sz w:val="14"/>
      <w:szCs w:val="14"/>
      <w:lang w:eastAsia="hi-IN" w:bidi="hi-IN"/>
    </w:rPr>
  </w:style>
  <w:style w:type="character" w:customStyle="1" w:styleId="TekstprzypisukocowegoZnak">
    <w:name w:val="Tekst przypisu końcowego Znak"/>
    <w:basedOn w:val="Domylnaczcionkaakapitu"/>
    <w:link w:val="Tekstprzypisukocowego"/>
    <w:uiPriority w:val="99"/>
    <w:semiHidden/>
    <w:qFormat/>
    <w:locked/>
    <w:rsid w:val="00CC70C2"/>
    <w:rPr>
      <w:rFonts w:ascii="Times New Roman" w:eastAsia="SimSun" w:hAnsi="Times New Roman" w:cs="Mangal"/>
      <w:kern w:val="2"/>
      <w:sz w:val="18"/>
      <w:szCs w:val="18"/>
      <w:lang w:eastAsia="hi-IN" w:bidi="hi-IN"/>
    </w:rPr>
  </w:style>
  <w:style w:type="character" w:customStyle="1" w:styleId="EndnoteCharacters">
    <w:name w:val="Endnote Characters"/>
    <w:basedOn w:val="Domylnaczcionkaakapitu"/>
    <w:uiPriority w:val="99"/>
    <w:semiHidden/>
    <w:qFormat/>
    <w:rsid w:val="0018318B"/>
    <w:rPr>
      <w:rFonts w:cs="Times New Roman"/>
      <w:vertAlign w:val="superscript"/>
    </w:rPr>
  </w:style>
  <w:style w:type="character" w:customStyle="1" w:styleId="EndnoteAnchor">
    <w:name w:val="Endnote Anchor"/>
    <w:rPr>
      <w:rFonts w:cs="Times New Roman"/>
      <w:vertAlign w:val="superscript"/>
    </w:rPr>
  </w:style>
  <w:style w:type="character" w:styleId="Odwoaniedokomentarza">
    <w:name w:val="annotation reference"/>
    <w:basedOn w:val="Domylnaczcionkaakapitu"/>
    <w:uiPriority w:val="99"/>
    <w:semiHidden/>
    <w:qFormat/>
    <w:rsid w:val="0018318B"/>
    <w:rPr>
      <w:rFonts w:cs="Times New Roman"/>
      <w:sz w:val="16"/>
    </w:rPr>
  </w:style>
  <w:style w:type="character" w:customStyle="1" w:styleId="TekstkomentarzaZnak">
    <w:name w:val="Tekst komentarza Znak"/>
    <w:basedOn w:val="Domylnaczcionkaakapitu"/>
    <w:link w:val="Tekstkomentarza"/>
    <w:uiPriority w:val="99"/>
    <w:qFormat/>
    <w:locked/>
    <w:rsid w:val="00CC70C2"/>
    <w:rPr>
      <w:rFonts w:ascii="Times New Roman" w:eastAsia="SimSun" w:hAnsi="Times New Roman" w:cs="Mangal"/>
      <w:kern w:val="2"/>
      <w:sz w:val="18"/>
      <w:szCs w:val="18"/>
      <w:lang w:eastAsia="hi-IN" w:bidi="hi-IN"/>
    </w:rPr>
  </w:style>
  <w:style w:type="character" w:customStyle="1" w:styleId="TematkomentarzaZnak">
    <w:name w:val="Temat komentarza Znak"/>
    <w:basedOn w:val="TekstkomentarzaZnak"/>
    <w:link w:val="Tematkomentarza"/>
    <w:uiPriority w:val="99"/>
    <w:semiHidden/>
    <w:qFormat/>
    <w:locked/>
    <w:rsid w:val="00CC70C2"/>
    <w:rPr>
      <w:rFonts w:ascii="Times New Roman" w:eastAsia="SimSun" w:hAnsi="Times New Roman" w:cs="Mangal"/>
      <w:b/>
      <w:bCs/>
      <w:kern w:val="2"/>
      <w:sz w:val="18"/>
      <w:szCs w:val="18"/>
      <w:lang w:eastAsia="hi-IN" w:bidi="hi-IN"/>
    </w:rPr>
  </w:style>
  <w:style w:type="character" w:styleId="Uwydatnienie">
    <w:name w:val="Emphasis"/>
    <w:basedOn w:val="Domylnaczcionkaakapitu"/>
    <w:uiPriority w:val="20"/>
    <w:qFormat/>
    <w:rsid w:val="00351A1D"/>
    <w:rPr>
      <w:rFonts w:cs="Times New Roman"/>
      <w:i/>
    </w:rPr>
  </w:style>
  <w:style w:type="character" w:customStyle="1" w:styleId="Nagwek3Znak">
    <w:name w:val="Nagłówek 3 Znak"/>
    <w:basedOn w:val="Domylnaczcionkaakapitu"/>
    <w:link w:val="Nagwek3"/>
    <w:qFormat/>
    <w:rsid w:val="00A07CD3"/>
    <w:rPr>
      <w:rFonts w:asciiTheme="majorHAnsi" w:eastAsiaTheme="majorEastAsia" w:hAnsiTheme="majorHAnsi" w:cs="Mangal"/>
      <w:color w:val="243F60" w:themeColor="accent1" w:themeShade="7F"/>
      <w:kern w:val="2"/>
      <w:sz w:val="24"/>
      <w:szCs w:val="21"/>
      <w:lang w:eastAsia="hi-IN" w:bidi="hi-IN"/>
    </w:rPr>
  </w:style>
  <w:style w:type="character" w:styleId="Pogrubienie">
    <w:name w:val="Strong"/>
    <w:basedOn w:val="Domylnaczcionkaakapitu"/>
    <w:uiPriority w:val="22"/>
    <w:qFormat/>
    <w:locked/>
    <w:rsid w:val="0018318B"/>
    <w:rPr>
      <w:b/>
      <w:bCs/>
    </w:rPr>
  </w:style>
  <w:style w:type="character" w:customStyle="1" w:styleId="InternetLink">
    <w:name w:val="Internet Link"/>
    <w:basedOn w:val="Domylnaczcionkaakapitu"/>
    <w:uiPriority w:val="99"/>
    <w:semiHidden/>
    <w:unhideWhenUsed/>
    <w:rsid w:val="0018318B"/>
    <w:rPr>
      <w:color w:val="0000FF"/>
      <w:u w:val="single"/>
    </w:rPr>
  </w:style>
  <w:style w:type="character" w:customStyle="1" w:styleId="hide">
    <w:name w:val="hide"/>
    <w:basedOn w:val="Domylnaczcionkaakapitu"/>
    <w:qFormat/>
    <w:rsid w:val="0018318B"/>
  </w:style>
  <w:style w:type="character" w:customStyle="1" w:styleId="apple-converted-space">
    <w:name w:val="apple-converted-space"/>
    <w:basedOn w:val="Domylnaczcionkaakapitu"/>
    <w:qFormat/>
    <w:rsid w:val="0018318B"/>
  </w:style>
  <w:style w:type="character" w:customStyle="1" w:styleId="alb">
    <w:name w:val="a_lb"/>
    <w:basedOn w:val="Domylnaczcionkaakapitu"/>
    <w:qFormat/>
    <w:rsid w:val="003524F5"/>
  </w:style>
  <w:style w:type="character" w:customStyle="1" w:styleId="fn-ref">
    <w:name w:val="fn-ref"/>
    <w:basedOn w:val="Domylnaczcionkaakapitu"/>
    <w:qFormat/>
    <w:rsid w:val="003524F5"/>
  </w:style>
  <w:style w:type="character" w:customStyle="1" w:styleId="ListLabel1">
    <w:name w:val="ListLabel 1"/>
    <w:qFormat/>
    <w:rPr>
      <w:rFonts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b w:val="0"/>
    </w:rPr>
  </w:style>
  <w:style w:type="character" w:customStyle="1" w:styleId="ListLabel85">
    <w:name w:val="ListLabel 85"/>
    <w:qFormat/>
    <w:rPr>
      <w:rFonts w:cs="Times New Roman"/>
    </w:rPr>
  </w:style>
  <w:style w:type="character" w:customStyle="1" w:styleId="ListLabel86">
    <w:name w:val="ListLabel 86"/>
    <w:qFormat/>
    <w:rPr>
      <w:rFonts w:cs="Times New Roman"/>
    </w:rPr>
  </w:style>
  <w:style w:type="character" w:customStyle="1" w:styleId="ListLabel87">
    <w:name w:val="ListLabel 87"/>
    <w:qFormat/>
    <w:rPr>
      <w:rFonts w:cs="Times New Roman"/>
    </w:rPr>
  </w:style>
  <w:style w:type="character" w:customStyle="1" w:styleId="ListLabel88">
    <w:name w:val="ListLabel 88"/>
    <w:qFormat/>
    <w:rPr>
      <w:rFonts w:cs="Times New Roman"/>
    </w:rPr>
  </w:style>
  <w:style w:type="character" w:customStyle="1" w:styleId="ListLabel89">
    <w:name w:val="ListLabel 89"/>
    <w:qFormat/>
    <w:rPr>
      <w:rFonts w:cs="Times New Roman"/>
    </w:rPr>
  </w:style>
  <w:style w:type="character" w:customStyle="1" w:styleId="ListLabel90">
    <w:name w:val="ListLabel 90"/>
    <w:qFormat/>
    <w:rPr>
      <w:rFonts w:cs="Times New Roman"/>
    </w:rPr>
  </w:style>
  <w:style w:type="character" w:customStyle="1" w:styleId="ListLabel91">
    <w:name w:val="ListLabel 91"/>
    <w:qFormat/>
    <w:rPr>
      <w:rFonts w:cs="Times New Roman"/>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rPr>
  </w:style>
  <w:style w:type="character" w:customStyle="1" w:styleId="ListLabel95">
    <w:name w:val="ListLabel 95"/>
    <w:qFormat/>
    <w:rPr>
      <w:rFonts w:cs="Times New Roman"/>
    </w:rPr>
  </w:style>
  <w:style w:type="character" w:customStyle="1" w:styleId="ListLabel96">
    <w:name w:val="ListLabel 96"/>
    <w:qFormat/>
    <w:rPr>
      <w:rFonts w:cs="Times New Roman"/>
    </w:rPr>
  </w:style>
  <w:style w:type="character" w:customStyle="1" w:styleId="ListLabel97">
    <w:name w:val="ListLabel 97"/>
    <w:qFormat/>
    <w:rPr>
      <w:rFonts w:cs="Times New Roman"/>
    </w:rPr>
  </w:style>
  <w:style w:type="character" w:customStyle="1" w:styleId="ListLabel98">
    <w:name w:val="ListLabel 98"/>
    <w:qFormat/>
    <w:rPr>
      <w:rFonts w:cs="Times New Roman"/>
    </w:rPr>
  </w:style>
  <w:style w:type="character" w:customStyle="1" w:styleId="ListLabel99">
    <w:name w:val="ListLabel 99"/>
    <w:qFormat/>
    <w:rPr>
      <w:rFonts w:cs="Times New Roman"/>
    </w:rPr>
  </w:style>
  <w:style w:type="character" w:customStyle="1" w:styleId="ListLabel100">
    <w:name w:val="ListLabel 100"/>
    <w:qFormat/>
    <w:rPr>
      <w:rFonts w:cs="Times New Roman"/>
    </w:rPr>
  </w:style>
  <w:style w:type="character" w:customStyle="1" w:styleId="ListLabel101">
    <w:name w:val="ListLabel 101"/>
    <w:qFormat/>
    <w:rPr>
      <w:rFonts w:cs="Times New Roman"/>
    </w:rPr>
  </w:style>
  <w:style w:type="character" w:customStyle="1" w:styleId="ListLabel102">
    <w:name w:val="ListLabel 102"/>
    <w:qFormat/>
    <w:rPr>
      <w:rFonts w:cs="Times New Roman"/>
    </w:rPr>
  </w:style>
  <w:style w:type="character" w:customStyle="1" w:styleId="ListLabel103">
    <w:name w:val="ListLabel 103"/>
    <w:qFormat/>
    <w:rPr>
      <w:rFonts w:cs="Times New Roman"/>
    </w:rPr>
  </w:style>
  <w:style w:type="character" w:customStyle="1" w:styleId="ListLabel104">
    <w:name w:val="ListLabel 104"/>
    <w:qFormat/>
    <w:rPr>
      <w:rFonts w:cs="Times New Roman"/>
    </w:rPr>
  </w:style>
  <w:style w:type="character" w:customStyle="1" w:styleId="ListLabel105">
    <w:name w:val="ListLabel 105"/>
    <w:qFormat/>
    <w:rPr>
      <w:rFonts w:cs="Times New Roman"/>
    </w:rPr>
  </w:style>
  <w:style w:type="character" w:customStyle="1" w:styleId="ListLabel106">
    <w:name w:val="ListLabel 106"/>
    <w:qFormat/>
    <w:rPr>
      <w:rFonts w:cs="Times New Roman"/>
    </w:rPr>
  </w:style>
  <w:style w:type="character" w:customStyle="1" w:styleId="ListLabel107">
    <w:name w:val="ListLabel 107"/>
    <w:qFormat/>
    <w:rPr>
      <w:rFonts w:cs="Times New Roman"/>
    </w:rPr>
  </w:style>
  <w:style w:type="character" w:customStyle="1" w:styleId="ListLabel108">
    <w:name w:val="ListLabel 108"/>
    <w:qFormat/>
    <w:rPr>
      <w:rFonts w:cs="Times New Roman"/>
    </w:rPr>
  </w:style>
  <w:style w:type="character" w:customStyle="1" w:styleId="ListLabel109">
    <w:name w:val="ListLabel 109"/>
    <w:qFormat/>
    <w:rPr>
      <w:rFonts w:cs="Times New Roman"/>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rPr>
  </w:style>
  <w:style w:type="character" w:customStyle="1" w:styleId="ListLabel113">
    <w:name w:val="ListLabel 113"/>
    <w:qFormat/>
    <w:rPr>
      <w:rFonts w:cs="Times New Roman"/>
    </w:rPr>
  </w:style>
  <w:style w:type="character" w:customStyle="1" w:styleId="ListLabel114">
    <w:name w:val="ListLabel 114"/>
    <w:qFormat/>
    <w:rPr>
      <w:rFonts w:cs="Times New Roman"/>
    </w:rPr>
  </w:style>
  <w:style w:type="character" w:customStyle="1" w:styleId="ListLabel115">
    <w:name w:val="ListLabel 115"/>
    <w:qFormat/>
    <w:rPr>
      <w:rFonts w:cs="Times New Roman"/>
    </w:rPr>
  </w:style>
  <w:style w:type="character" w:customStyle="1" w:styleId="ListLabel116">
    <w:name w:val="ListLabel 116"/>
    <w:qFormat/>
    <w:rPr>
      <w:rFonts w:cs="Times New Roman"/>
    </w:rPr>
  </w:style>
  <w:style w:type="character" w:customStyle="1" w:styleId="ListLabel117">
    <w:name w:val="ListLabel 117"/>
    <w:qFormat/>
    <w:rPr>
      <w:rFonts w:cs="Times New Roman"/>
    </w:rPr>
  </w:style>
  <w:style w:type="character" w:customStyle="1" w:styleId="ListLabel118">
    <w:name w:val="ListLabel 118"/>
    <w:qFormat/>
    <w:rPr>
      <w:rFonts w:cs="Times New Roman"/>
    </w:rPr>
  </w:style>
  <w:style w:type="character" w:customStyle="1" w:styleId="ListLabel119">
    <w:name w:val="ListLabel 119"/>
    <w:qFormat/>
    <w:rPr>
      <w:rFonts w:cs="Times New Roman"/>
    </w:rPr>
  </w:style>
  <w:style w:type="character" w:customStyle="1" w:styleId="ListLabel120">
    <w:name w:val="ListLabel 120"/>
    <w:qFormat/>
    <w:rPr>
      <w:rFonts w:cs="Times New Roman"/>
    </w:rPr>
  </w:style>
  <w:style w:type="character" w:customStyle="1" w:styleId="ListLabel121">
    <w:name w:val="ListLabel 121"/>
    <w:qFormat/>
    <w:rPr>
      <w:rFonts w:cs="Times New Roman"/>
    </w:rPr>
  </w:style>
  <w:style w:type="character" w:customStyle="1" w:styleId="ListLabel122">
    <w:name w:val="ListLabel 122"/>
    <w:qFormat/>
    <w:rPr>
      <w:rFonts w:cs="Times New Roman"/>
    </w:rPr>
  </w:style>
  <w:style w:type="character" w:customStyle="1" w:styleId="ListLabel123">
    <w:name w:val="ListLabel 123"/>
    <w:qFormat/>
    <w:rPr>
      <w:rFonts w:cs="Times New Roman"/>
    </w:rPr>
  </w:style>
  <w:style w:type="character" w:customStyle="1" w:styleId="ListLabel124">
    <w:name w:val="ListLabel 124"/>
    <w:qFormat/>
    <w:rPr>
      <w:rFonts w:cs="Times New Roman"/>
    </w:rPr>
  </w:style>
  <w:style w:type="character" w:customStyle="1" w:styleId="ListLabel125">
    <w:name w:val="ListLabel 125"/>
    <w:qFormat/>
    <w:rPr>
      <w:rFonts w:cs="Times New Roman"/>
    </w:rPr>
  </w:style>
  <w:style w:type="character" w:customStyle="1" w:styleId="ListLabel126">
    <w:name w:val="ListLabel 126"/>
    <w:qFormat/>
    <w:rPr>
      <w:rFonts w:cs="Times New Roman"/>
    </w:rPr>
  </w:style>
  <w:style w:type="character" w:customStyle="1" w:styleId="ListLabel127">
    <w:name w:val="ListLabel 127"/>
    <w:qFormat/>
    <w:rPr>
      <w:rFonts w:cs="Times New Roman"/>
    </w:rPr>
  </w:style>
  <w:style w:type="character" w:customStyle="1" w:styleId="ListLabel128">
    <w:name w:val="ListLabel 128"/>
    <w:qFormat/>
    <w:rPr>
      <w:rFonts w:cs="Times New Roman"/>
    </w:rPr>
  </w:style>
  <w:style w:type="character" w:customStyle="1" w:styleId="ListLabel129">
    <w:name w:val="ListLabel 129"/>
    <w:qFormat/>
    <w:rPr>
      <w:rFonts w:cs="Times New Roman"/>
    </w:rPr>
  </w:style>
  <w:style w:type="character" w:customStyle="1" w:styleId="ListLabel130">
    <w:name w:val="ListLabel 130"/>
    <w:qFormat/>
    <w:rPr>
      <w:rFonts w:cs="Times New Roman"/>
    </w:rPr>
  </w:style>
  <w:style w:type="character" w:customStyle="1" w:styleId="ListLabel131">
    <w:name w:val="ListLabel 131"/>
    <w:qFormat/>
    <w:rPr>
      <w:rFonts w:cs="Times New Roman"/>
    </w:rPr>
  </w:style>
  <w:style w:type="character" w:customStyle="1" w:styleId="ListLabel132">
    <w:name w:val="ListLabel 132"/>
    <w:qFormat/>
    <w:rPr>
      <w:rFonts w:cs="Times New Roman"/>
    </w:rPr>
  </w:style>
  <w:style w:type="character" w:customStyle="1" w:styleId="ListLabel133">
    <w:name w:val="ListLabel 133"/>
    <w:qFormat/>
    <w:rPr>
      <w:rFonts w:cs="Times New Roman"/>
    </w:rPr>
  </w:style>
  <w:style w:type="character" w:customStyle="1" w:styleId="ListLabel134">
    <w:name w:val="ListLabel 134"/>
    <w:qFormat/>
    <w:rPr>
      <w:rFonts w:cs="Times New Roman"/>
    </w:rPr>
  </w:style>
  <w:style w:type="character" w:customStyle="1" w:styleId="ListLabel135">
    <w:name w:val="ListLabel 135"/>
    <w:qFormat/>
    <w:rPr>
      <w:rFonts w:cs="Times New Roman"/>
    </w:rPr>
  </w:style>
  <w:style w:type="character" w:customStyle="1" w:styleId="ListLabel136">
    <w:name w:val="ListLabel 136"/>
    <w:qFormat/>
    <w:rPr>
      <w:rFonts w:cs="Times New Roman"/>
    </w:rPr>
  </w:style>
  <w:style w:type="character" w:customStyle="1" w:styleId="ListLabel137">
    <w:name w:val="ListLabel 137"/>
    <w:qFormat/>
    <w:rPr>
      <w:rFonts w:cs="Times New Roman"/>
    </w:rPr>
  </w:style>
  <w:style w:type="character" w:customStyle="1" w:styleId="ListLabel138">
    <w:name w:val="ListLabel 138"/>
    <w:qFormat/>
    <w:rPr>
      <w:rFonts w:cs="Times New Roman"/>
    </w:rPr>
  </w:style>
  <w:style w:type="character" w:customStyle="1" w:styleId="ListLabel139">
    <w:name w:val="ListLabel 139"/>
    <w:qFormat/>
    <w:rPr>
      <w:rFonts w:cs="Times New Roman"/>
    </w:rPr>
  </w:style>
  <w:style w:type="character" w:customStyle="1" w:styleId="ListLabel140">
    <w:name w:val="ListLabel 140"/>
    <w:qFormat/>
    <w:rPr>
      <w:rFonts w:cs="Times New Roman"/>
    </w:rPr>
  </w:style>
  <w:style w:type="character" w:customStyle="1" w:styleId="ListLabel141">
    <w:name w:val="ListLabel 141"/>
    <w:qFormat/>
    <w:rPr>
      <w:rFonts w:cs="Times New Roman"/>
    </w:rPr>
  </w:style>
  <w:style w:type="character" w:customStyle="1" w:styleId="ListLabel142">
    <w:name w:val="ListLabel 142"/>
    <w:qFormat/>
    <w:rPr>
      <w:rFonts w:cs="Times New Roman"/>
    </w:rPr>
  </w:style>
  <w:style w:type="character" w:customStyle="1" w:styleId="ListLabel143">
    <w:name w:val="ListLabel 143"/>
    <w:qFormat/>
    <w:rPr>
      <w:rFonts w:cs="Times New Roman"/>
    </w:rPr>
  </w:style>
  <w:style w:type="character" w:customStyle="1" w:styleId="ListLabel144">
    <w:name w:val="ListLabel 144"/>
    <w:qFormat/>
    <w:rPr>
      <w:rFonts w:cs="Times New Roman"/>
    </w:rPr>
  </w:style>
  <w:style w:type="character" w:customStyle="1" w:styleId="ListLabel145">
    <w:name w:val="ListLabel 145"/>
    <w:qFormat/>
    <w:rPr>
      <w:rFonts w:cs="Times New Roman"/>
    </w:rPr>
  </w:style>
  <w:style w:type="character" w:customStyle="1" w:styleId="ListLabel146">
    <w:name w:val="ListLabel 146"/>
    <w:qFormat/>
    <w:rPr>
      <w:rFonts w:cs="Times New Roman"/>
    </w:rPr>
  </w:style>
  <w:style w:type="character" w:customStyle="1" w:styleId="ListLabel147">
    <w:name w:val="ListLabel 147"/>
    <w:qFormat/>
    <w:rPr>
      <w:rFonts w:cs="Times New Roman"/>
    </w:rPr>
  </w:style>
  <w:style w:type="character" w:customStyle="1" w:styleId="ListLabel148">
    <w:name w:val="ListLabel 148"/>
    <w:qFormat/>
    <w:rPr>
      <w:rFonts w:cs="Times New Roman"/>
    </w:rPr>
  </w:style>
  <w:style w:type="character" w:customStyle="1" w:styleId="ListLabel149">
    <w:name w:val="ListLabel 149"/>
    <w:qFormat/>
    <w:rPr>
      <w:rFonts w:cs="Times New Roman"/>
    </w:rPr>
  </w:style>
  <w:style w:type="character" w:customStyle="1" w:styleId="ListLabel150">
    <w:name w:val="ListLabel 150"/>
    <w:qFormat/>
    <w:rPr>
      <w:rFonts w:cs="Times New Roman"/>
    </w:rPr>
  </w:style>
  <w:style w:type="character" w:customStyle="1" w:styleId="ListLabel151">
    <w:name w:val="ListLabel 151"/>
    <w:qFormat/>
    <w:rPr>
      <w:rFonts w:cs="Times New Roman"/>
    </w:rPr>
  </w:style>
  <w:style w:type="character" w:customStyle="1" w:styleId="ListLabel152">
    <w:name w:val="ListLabel 152"/>
    <w:qFormat/>
    <w:rPr>
      <w:rFonts w:cs="Times New Roman"/>
    </w:rPr>
  </w:style>
  <w:style w:type="character" w:customStyle="1" w:styleId="ListLabel153">
    <w:name w:val="ListLabel 153"/>
    <w:qFormat/>
    <w:rPr>
      <w:rFonts w:cs="Times New Roman"/>
    </w:rPr>
  </w:style>
  <w:style w:type="character" w:customStyle="1" w:styleId="ListLabel154">
    <w:name w:val="ListLabel 154"/>
    <w:qFormat/>
    <w:rPr>
      <w:rFonts w:cs="Times New Roman"/>
    </w:rPr>
  </w:style>
  <w:style w:type="character" w:customStyle="1" w:styleId="ListLabel155">
    <w:name w:val="ListLabel 155"/>
    <w:qFormat/>
    <w:rPr>
      <w:rFonts w:cs="Times New Roman"/>
      <w:b/>
    </w:rPr>
  </w:style>
  <w:style w:type="character" w:customStyle="1" w:styleId="ListLabel156">
    <w:name w:val="ListLabel 156"/>
    <w:qFormat/>
    <w:rPr>
      <w:rFonts w:cs="Times New Roman"/>
    </w:rPr>
  </w:style>
  <w:style w:type="character" w:customStyle="1" w:styleId="ListLabel157">
    <w:name w:val="ListLabel 157"/>
    <w:qFormat/>
    <w:rPr>
      <w:rFonts w:cs="Times New Roman"/>
    </w:rPr>
  </w:style>
  <w:style w:type="character" w:customStyle="1" w:styleId="ListLabel158">
    <w:name w:val="ListLabel 158"/>
    <w:qFormat/>
    <w:rPr>
      <w:rFonts w:cs="Times New Roman"/>
    </w:rPr>
  </w:style>
  <w:style w:type="character" w:customStyle="1" w:styleId="ListLabel159">
    <w:name w:val="ListLabel 159"/>
    <w:qFormat/>
    <w:rPr>
      <w:rFonts w:cs="Times New Roman"/>
    </w:rPr>
  </w:style>
  <w:style w:type="character" w:customStyle="1" w:styleId="ListLabel160">
    <w:name w:val="ListLabel 160"/>
    <w:qFormat/>
    <w:rPr>
      <w:rFonts w:cs="Times New Roman"/>
    </w:rPr>
  </w:style>
  <w:style w:type="character" w:customStyle="1" w:styleId="ListLabel161">
    <w:name w:val="ListLabel 161"/>
    <w:qFormat/>
    <w:rPr>
      <w:rFonts w:cs="Times New Roman"/>
    </w:rPr>
  </w:style>
  <w:style w:type="character" w:customStyle="1" w:styleId="ListLabel162">
    <w:name w:val="ListLabel 162"/>
    <w:qFormat/>
    <w:rPr>
      <w:rFonts w:cs="Times New Roman"/>
    </w:rPr>
  </w:style>
  <w:style w:type="character" w:customStyle="1" w:styleId="ListLabel163">
    <w:name w:val="ListLabel 163"/>
    <w:qFormat/>
    <w:rPr>
      <w:rFonts w:cs="Times New Roman"/>
    </w:rPr>
  </w:style>
  <w:style w:type="character" w:customStyle="1" w:styleId="ListLabel164">
    <w:name w:val="ListLabel 164"/>
    <w:qFormat/>
    <w:rPr>
      <w:rFonts w:cs="Times New Roman"/>
    </w:rPr>
  </w:style>
  <w:style w:type="character" w:customStyle="1" w:styleId="ListLabel165">
    <w:name w:val="ListLabel 165"/>
    <w:qFormat/>
    <w:rPr>
      <w:rFonts w:cs="Times New Roman"/>
    </w:rPr>
  </w:style>
  <w:style w:type="character" w:customStyle="1" w:styleId="ListLabel166">
    <w:name w:val="ListLabel 166"/>
    <w:qFormat/>
    <w:rPr>
      <w:rFonts w:cs="Times New Roman"/>
    </w:rPr>
  </w:style>
  <w:style w:type="character" w:customStyle="1" w:styleId="ListLabel167">
    <w:name w:val="ListLabel 167"/>
    <w:qFormat/>
    <w:rPr>
      <w:rFonts w:cs="Times New Roman"/>
    </w:rPr>
  </w:style>
  <w:style w:type="character" w:customStyle="1" w:styleId="ListLabel168">
    <w:name w:val="ListLabel 168"/>
    <w:qFormat/>
    <w:rPr>
      <w:rFonts w:cs="Times New Roman"/>
    </w:rPr>
  </w:style>
  <w:style w:type="character" w:customStyle="1" w:styleId="ListLabel169">
    <w:name w:val="ListLabel 169"/>
    <w:qFormat/>
    <w:rPr>
      <w:rFonts w:cs="Times New Roman"/>
    </w:rPr>
  </w:style>
  <w:style w:type="character" w:customStyle="1" w:styleId="ListLabel170">
    <w:name w:val="ListLabel 170"/>
    <w:qFormat/>
    <w:rPr>
      <w:rFonts w:cs="Times New Roman"/>
    </w:rPr>
  </w:style>
  <w:style w:type="character" w:customStyle="1" w:styleId="ListLabel171">
    <w:name w:val="ListLabel 171"/>
    <w:qFormat/>
    <w:rPr>
      <w:rFonts w:cs="Times New Roman"/>
    </w:rPr>
  </w:style>
  <w:style w:type="character" w:customStyle="1" w:styleId="ListLabel172">
    <w:name w:val="ListLabel 172"/>
    <w:qFormat/>
    <w:rPr>
      <w:rFonts w:cs="Times New Roman"/>
    </w:rPr>
  </w:style>
  <w:style w:type="character" w:customStyle="1" w:styleId="ListLabel173">
    <w:name w:val="ListLabel 173"/>
    <w:qFormat/>
    <w:rPr>
      <w:rFonts w:cs="Times New Roman"/>
    </w:rPr>
  </w:style>
  <w:style w:type="character" w:customStyle="1" w:styleId="ListLabel174">
    <w:name w:val="ListLabel 174"/>
    <w:qFormat/>
    <w:rPr>
      <w:rFonts w:cs="Times New Roman"/>
    </w:rPr>
  </w:style>
  <w:style w:type="character" w:customStyle="1" w:styleId="ListLabel175">
    <w:name w:val="ListLabel 175"/>
    <w:qFormat/>
    <w:rPr>
      <w:rFonts w:cs="Times New Roman"/>
    </w:rPr>
  </w:style>
  <w:style w:type="character" w:customStyle="1" w:styleId="ListLabel176">
    <w:name w:val="ListLabel 176"/>
    <w:qFormat/>
    <w:rPr>
      <w:rFonts w:cs="Times New Roman"/>
    </w:rPr>
  </w:style>
  <w:style w:type="character" w:customStyle="1" w:styleId="ListLabel177">
    <w:name w:val="ListLabel 177"/>
    <w:qFormat/>
    <w:rPr>
      <w:rFonts w:cs="Times New Roman"/>
    </w:rPr>
  </w:style>
  <w:style w:type="character" w:customStyle="1" w:styleId="ListLabel178">
    <w:name w:val="ListLabel 178"/>
    <w:qFormat/>
    <w:rPr>
      <w:rFonts w:cs="Times New Roman"/>
    </w:rPr>
  </w:style>
  <w:style w:type="character" w:customStyle="1" w:styleId="ListLabel179">
    <w:name w:val="ListLabel 179"/>
    <w:qFormat/>
    <w:rPr>
      <w:rFonts w:cs="Times New Roman"/>
    </w:rPr>
  </w:style>
  <w:style w:type="character" w:customStyle="1" w:styleId="ListLabel180">
    <w:name w:val="ListLabel 180"/>
    <w:qFormat/>
    <w:rPr>
      <w:rFonts w:cs="Times New Roman"/>
    </w:rPr>
  </w:style>
  <w:style w:type="character" w:customStyle="1" w:styleId="ListLabel181">
    <w:name w:val="ListLabel 181"/>
    <w:qFormat/>
    <w:rPr>
      <w:rFonts w:cs="Times New Roman"/>
    </w:rPr>
  </w:style>
  <w:style w:type="character" w:customStyle="1" w:styleId="ListLabel182">
    <w:name w:val="ListLabel 182"/>
    <w:qFormat/>
    <w:rPr>
      <w:rFonts w:cs="Times New Roman"/>
    </w:rPr>
  </w:style>
  <w:style w:type="character" w:customStyle="1" w:styleId="ListLabel183">
    <w:name w:val="ListLabel 183"/>
    <w:qFormat/>
    <w:rPr>
      <w:rFonts w:cs="Times New Roman"/>
    </w:rPr>
  </w:style>
  <w:style w:type="character" w:customStyle="1" w:styleId="ListLabel184">
    <w:name w:val="ListLabel 184"/>
    <w:qFormat/>
    <w:rPr>
      <w:rFonts w:cs="Times New Roman"/>
    </w:rPr>
  </w:style>
  <w:style w:type="character" w:customStyle="1" w:styleId="ListLabel185">
    <w:name w:val="ListLabel 185"/>
    <w:qFormat/>
    <w:rPr>
      <w:rFonts w:cs="Times New Roman"/>
    </w:rPr>
  </w:style>
  <w:style w:type="character" w:customStyle="1" w:styleId="ListLabel186">
    <w:name w:val="ListLabel 186"/>
    <w:qFormat/>
    <w:rPr>
      <w:rFonts w:cs="Times New Roman"/>
    </w:rPr>
  </w:style>
  <w:style w:type="character" w:customStyle="1" w:styleId="ListLabel187">
    <w:name w:val="ListLabel 187"/>
    <w:qFormat/>
    <w:rPr>
      <w:rFonts w:cs="Times New Roman"/>
    </w:rPr>
  </w:style>
  <w:style w:type="character" w:customStyle="1" w:styleId="ListLabel188">
    <w:name w:val="ListLabel 188"/>
    <w:qFormat/>
    <w:rPr>
      <w:rFonts w:cs="Times New Roman"/>
    </w:rPr>
  </w:style>
  <w:style w:type="character" w:customStyle="1" w:styleId="ListLabel189">
    <w:name w:val="ListLabel 189"/>
    <w:qFormat/>
    <w:rPr>
      <w:rFonts w:cs="Times New Roman"/>
    </w:rPr>
  </w:style>
  <w:style w:type="character" w:customStyle="1" w:styleId="ListLabel190">
    <w:name w:val="ListLabel 190"/>
    <w:qFormat/>
    <w:rPr>
      <w:rFonts w:cs="Times New Roman"/>
    </w:rPr>
  </w:style>
  <w:style w:type="character" w:customStyle="1" w:styleId="ListLabel191">
    <w:name w:val="ListLabel 191"/>
    <w:qFormat/>
    <w:rPr>
      <w:rFonts w:cs="Times New Roman"/>
    </w:rPr>
  </w:style>
  <w:style w:type="character" w:customStyle="1" w:styleId="ListLabel192">
    <w:name w:val="ListLabel 192"/>
    <w:qFormat/>
    <w:rPr>
      <w:rFonts w:cs="Times New Roman"/>
    </w:rPr>
  </w:style>
  <w:style w:type="character" w:customStyle="1" w:styleId="ListLabel193">
    <w:name w:val="ListLabel 193"/>
    <w:qFormat/>
    <w:rPr>
      <w:rFonts w:cs="Times New Roman"/>
    </w:rPr>
  </w:style>
  <w:style w:type="character" w:customStyle="1" w:styleId="ListLabel194">
    <w:name w:val="ListLabel 194"/>
    <w:qFormat/>
    <w:rPr>
      <w:rFonts w:cs="Times New Roman"/>
    </w:rPr>
  </w:style>
  <w:style w:type="character" w:customStyle="1" w:styleId="ListLabel195">
    <w:name w:val="ListLabel 195"/>
    <w:qFormat/>
    <w:rPr>
      <w:rFonts w:cs="Times New Roman"/>
    </w:rPr>
  </w:style>
  <w:style w:type="character" w:customStyle="1" w:styleId="ListLabel196">
    <w:name w:val="ListLabel 196"/>
    <w:qFormat/>
    <w:rPr>
      <w:rFonts w:cs="Times New Roman"/>
    </w:rPr>
  </w:style>
  <w:style w:type="character" w:customStyle="1" w:styleId="ListLabel197">
    <w:name w:val="ListLabel 197"/>
    <w:qFormat/>
    <w:rPr>
      <w:rFonts w:cs="Times New Roman"/>
    </w:rPr>
  </w:style>
  <w:style w:type="character" w:customStyle="1" w:styleId="ListLabel198">
    <w:name w:val="ListLabel 198"/>
    <w:qFormat/>
    <w:rPr>
      <w:rFonts w:cs="Times New Roman"/>
    </w:rPr>
  </w:style>
  <w:style w:type="character" w:customStyle="1" w:styleId="ListLabel199">
    <w:name w:val="ListLabel 199"/>
    <w:qFormat/>
    <w:rPr>
      <w:rFonts w:cs="Times New Roman"/>
    </w:rPr>
  </w:style>
  <w:style w:type="character" w:customStyle="1" w:styleId="ListLabel200">
    <w:name w:val="ListLabel 200"/>
    <w:qFormat/>
    <w:rPr>
      <w:rFonts w:cs="Times New Roman"/>
    </w:rPr>
  </w:style>
  <w:style w:type="character" w:customStyle="1" w:styleId="ListLabel201">
    <w:name w:val="ListLabel 201"/>
    <w:qFormat/>
    <w:rPr>
      <w:rFonts w:cs="Times New Roman"/>
    </w:rPr>
  </w:style>
  <w:style w:type="character" w:customStyle="1" w:styleId="ListLabel202">
    <w:name w:val="ListLabel 202"/>
    <w:qFormat/>
    <w:rPr>
      <w:rFonts w:cs="Times New Roman"/>
    </w:rPr>
  </w:style>
  <w:style w:type="character" w:customStyle="1" w:styleId="ListLabel203">
    <w:name w:val="ListLabel 203"/>
    <w:qFormat/>
    <w:rPr>
      <w:rFonts w:cs="Times New Roman"/>
    </w:rPr>
  </w:style>
  <w:style w:type="character" w:customStyle="1" w:styleId="ListLabel204">
    <w:name w:val="ListLabel 204"/>
    <w:qFormat/>
    <w:rPr>
      <w:rFonts w:cs="Times New Roman"/>
    </w:rPr>
  </w:style>
  <w:style w:type="character" w:customStyle="1" w:styleId="ListLabel205">
    <w:name w:val="ListLabel 205"/>
    <w:qFormat/>
    <w:rPr>
      <w:rFonts w:cs="Times New Roman"/>
    </w:rPr>
  </w:style>
  <w:style w:type="character" w:customStyle="1" w:styleId="ListLabel206">
    <w:name w:val="ListLabel 206"/>
    <w:qFormat/>
    <w:rPr>
      <w:rFonts w:cs="Times New Roman"/>
    </w:rPr>
  </w:style>
  <w:style w:type="character" w:customStyle="1" w:styleId="ListLabel207">
    <w:name w:val="ListLabel 207"/>
    <w:qFormat/>
    <w:rPr>
      <w:rFonts w:cs="Times New Roman"/>
    </w:rPr>
  </w:style>
  <w:style w:type="character" w:customStyle="1" w:styleId="ListLabel208">
    <w:name w:val="ListLabel 208"/>
    <w:qFormat/>
    <w:rPr>
      <w:rFonts w:cs="Times New Roman"/>
    </w:rPr>
  </w:style>
  <w:style w:type="character" w:customStyle="1" w:styleId="ListLabel209">
    <w:name w:val="ListLabel 209"/>
    <w:qFormat/>
    <w:rPr>
      <w:rFonts w:cs="Times New Roman"/>
      <w:b w:val="0"/>
    </w:rPr>
  </w:style>
  <w:style w:type="character" w:customStyle="1" w:styleId="ListLabel210">
    <w:name w:val="ListLabel 210"/>
    <w:qFormat/>
    <w:rPr>
      <w:rFonts w:cs="Times New Roman"/>
    </w:rPr>
  </w:style>
  <w:style w:type="character" w:customStyle="1" w:styleId="ListLabel211">
    <w:name w:val="ListLabel 211"/>
    <w:qFormat/>
    <w:rPr>
      <w:rFonts w:cs="Times New Roman"/>
    </w:rPr>
  </w:style>
  <w:style w:type="character" w:customStyle="1" w:styleId="ListLabel212">
    <w:name w:val="ListLabel 212"/>
    <w:qFormat/>
    <w:rPr>
      <w:rFonts w:cs="Times New Roman"/>
    </w:rPr>
  </w:style>
  <w:style w:type="character" w:customStyle="1" w:styleId="ListLabel213">
    <w:name w:val="ListLabel 213"/>
    <w:qFormat/>
    <w:rPr>
      <w:rFonts w:cs="Times New Roman"/>
    </w:rPr>
  </w:style>
  <w:style w:type="character" w:customStyle="1" w:styleId="ListLabel214">
    <w:name w:val="ListLabel 214"/>
    <w:qFormat/>
    <w:rPr>
      <w:rFonts w:cs="Times New Roman"/>
    </w:rPr>
  </w:style>
  <w:style w:type="character" w:customStyle="1" w:styleId="ListLabel215">
    <w:name w:val="ListLabel 215"/>
    <w:qFormat/>
    <w:rPr>
      <w:rFonts w:cs="Times New Roman"/>
    </w:rPr>
  </w:style>
  <w:style w:type="character" w:customStyle="1" w:styleId="ListLabel216">
    <w:name w:val="ListLabel 216"/>
    <w:qFormat/>
    <w:rPr>
      <w:rFonts w:cs="Times New Roman"/>
    </w:rPr>
  </w:style>
  <w:style w:type="character" w:customStyle="1" w:styleId="ListLabel217">
    <w:name w:val="ListLabel 217"/>
    <w:qFormat/>
    <w:rPr>
      <w:rFonts w:cs="Times New Roman"/>
    </w:rPr>
  </w:style>
  <w:style w:type="character" w:customStyle="1" w:styleId="ListLabel218">
    <w:name w:val="ListLabel 218"/>
    <w:qFormat/>
    <w:rPr>
      <w:rFonts w:cs="Times New Roman"/>
    </w:rPr>
  </w:style>
  <w:style w:type="character" w:customStyle="1" w:styleId="ListLabel219">
    <w:name w:val="ListLabel 219"/>
    <w:qFormat/>
    <w:rPr>
      <w:rFonts w:cs="Times New Roman"/>
    </w:rPr>
  </w:style>
  <w:style w:type="character" w:customStyle="1" w:styleId="ListLabel220">
    <w:name w:val="ListLabel 220"/>
    <w:qFormat/>
    <w:rPr>
      <w:rFonts w:cs="Times New Roman"/>
    </w:rPr>
  </w:style>
  <w:style w:type="character" w:customStyle="1" w:styleId="ListLabel221">
    <w:name w:val="ListLabel 221"/>
    <w:qFormat/>
    <w:rPr>
      <w:rFonts w:cs="Times New Roman"/>
    </w:rPr>
  </w:style>
  <w:style w:type="character" w:customStyle="1" w:styleId="ListLabel222">
    <w:name w:val="ListLabel 222"/>
    <w:qFormat/>
    <w:rPr>
      <w:rFonts w:cs="Times New Roman"/>
    </w:rPr>
  </w:style>
  <w:style w:type="character" w:customStyle="1" w:styleId="ListLabel223">
    <w:name w:val="ListLabel 223"/>
    <w:qFormat/>
    <w:rPr>
      <w:rFonts w:cs="Times New Roman"/>
    </w:rPr>
  </w:style>
  <w:style w:type="character" w:customStyle="1" w:styleId="ListLabel224">
    <w:name w:val="ListLabel 224"/>
    <w:qFormat/>
    <w:rPr>
      <w:rFonts w:cs="Times New Roman"/>
    </w:rPr>
  </w:style>
  <w:style w:type="character" w:customStyle="1" w:styleId="ListLabel225">
    <w:name w:val="ListLabel 225"/>
    <w:qFormat/>
    <w:rPr>
      <w:rFonts w:cs="Times New Roman"/>
    </w:rPr>
  </w:style>
  <w:style w:type="character" w:customStyle="1" w:styleId="ListLabel226">
    <w:name w:val="ListLabel 226"/>
    <w:qFormat/>
    <w:rPr>
      <w:rFonts w:cs="Times New Roman"/>
    </w:rPr>
  </w:style>
  <w:style w:type="character" w:customStyle="1" w:styleId="ListLabel227">
    <w:name w:val="ListLabel 227"/>
    <w:qFormat/>
    <w:rPr>
      <w:rFonts w:cs="Times New Roman"/>
    </w:rPr>
  </w:style>
  <w:style w:type="character" w:customStyle="1" w:styleId="ListLabel228">
    <w:name w:val="ListLabel 228"/>
    <w:qFormat/>
    <w:rPr>
      <w:rFonts w:cs="Times New Roman"/>
    </w:rPr>
  </w:style>
  <w:style w:type="character" w:customStyle="1" w:styleId="ListLabel229">
    <w:name w:val="ListLabel 229"/>
    <w:qFormat/>
    <w:rPr>
      <w:rFonts w:cs="Times New Roman"/>
    </w:rPr>
  </w:style>
  <w:style w:type="character" w:customStyle="1" w:styleId="ListLabel230">
    <w:name w:val="ListLabel 230"/>
    <w:qFormat/>
    <w:rPr>
      <w:rFonts w:cs="Times New Roman"/>
    </w:rPr>
  </w:style>
  <w:style w:type="character" w:customStyle="1" w:styleId="ListLabel231">
    <w:name w:val="ListLabel 231"/>
    <w:qFormat/>
    <w:rPr>
      <w:rFonts w:cs="Times New Roman"/>
    </w:rPr>
  </w:style>
  <w:style w:type="character" w:customStyle="1" w:styleId="ListLabel232">
    <w:name w:val="ListLabel 232"/>
    <w:qFormat/>
    <w:rPr>
      <w:rFonts w:cs="Times New Roman"/>
    </w:rPr>
  </w:style>
  <w:style w:type="character" w:customStyle="1" w:styleId="ListLabel233">
    <w:name w:val="ListLabel 233"/>
    <w:qFormat/>
    <w:rPr>
      <w:rFonts w:cs="Times New Roman"/>
    </w:rPr>
  </w:style>
  <w:style w:type="character" w:customStyle="1" w:styleId="ListLabel234">
    <w:name w:val="ListLabel 234"/>
    <w:qFormat/>
    <w:rPr>
      <w:rFonts w:cs="Times New Roman"/>
    </w:rPr>
  </w:style>
  <w:style w:type="character" w:customStyle="1" w:styleId="ListLabel235">
    <w:name w:val="ListLabel 235"/>
    <w:qFormat/>
    <w:rPr>
      <w:rFonts w:cs="Times New Roman"/>
    </w:rPr>
  </w:style>
  <w:style w:type="character" w:customStyle="1" w:styleId="ListLabel236">
    <w:name w:val="ListLabel 236"/>
    <w:qFormat/>
    <w:rPr>
      <w:rFonts w:cs="Times New Roman"/>
    </w:rPr>
  </w:style>
  <w:style w:type="character" w:customStyle="1" w:styleId="ListLabel237">
    <w:name w:val="ListLabel 237"/>
    <w:qFormat/>
    <w:rPr>
      <w:rFonts w:cs="Times New Roman"/>
    </w:rPr>
  </w:style>
  <w:style w:type="character" w:customStyle="1" w:styleId="ListLabel238">
    <w:name w:val="ListLabel 238"/>
    <w:qFormat/>
    <w:rPr>
      <w:rFonts w:cs="Times New Roman"/>
    </w:rPr>
  </w:style>
  <w:style w:type="character" w:customStyle="1" w:styleId="ListLabel239">
    <w:name w:val="ListLabel 239"/>
    <w:qFormat/>
    <w:rPr>
      <w:rFonts w:cs="Times New Roman"/>
    </w:rPr>
  </w:style>
  <w:style w:type="character" w:customStyle="1" w:styleId="ListLabel240">
    <w:name w:val="ListLabel 240"/>
    <w:qFormat/>
    <w:rPr>
      <w:rFonts w:cs="Times New Roman"/>
    </w:rPr>
  </w:style>
  <w:style w:type="character" w:customStyle="1" w:styleId="ListLabel241">
    <w:name w:val="ListLabel 241"/>
    <w:qFormat/>
    <w:rPr>
      <w:rFonts w:cs="Times New Roman"/>
    </w:rPr>
  </w:style>
  <w:style w:type="character" w:customStyle="1" w:styleId="ListLabel242">
    <w:name w:val="ListLabel 242"/>
    <w:qFormat/>
    <w:rPr>
      <w:rFonts w:cs="Times New Roman"/>
    </w:rPr>
  </w:style>
  <w:style w:type="character" w:customStyle="1" w:styleId="ListLabel243">
    <w:name w:val="ListLabel 243"/>
    <w:qFormat/>
    <w:rPr>
      <w:rFonts w:cs="Times New Roman"/>
    </w:rPr>
  </w:style>
  <w:style w:type="character" w:customStyle="1" w:styleId="ListLabel244">
    <w:name w:val="ListLabel 244"/>
    <w:qFormat/>
    <w:rPr>
      <w:rFonts w:cs="Times New Roman"/>
    </w:rPr>
  </w:style>
  <w:style w:type="character" w:customStyle="1" w:styleId="ListLabel245">
    <w:name w:val="ListLabel 245"/>
    <w:qFormat/>
    <w:rPr>
      <w:rFonts w:cs="Times New Roman"/>
    </w:rPr>
  </w:style>
  <w:style w:type="character" w:customStyle="1" w:styleId="ListLabel246">
    <w:name w:val="ListLabel 246"/>
    <w:qFormat/>
    <w:rPr>
      <w:rFonts w:cs="Times New Roman"/>
    </w:rPr>
  </w:style>
  <w:style w:type="character" w:customStyle="1" w:styleId="ListLabel247">
    <w:name w:val="ListLabel 247"/>
    <w:qFormat/>
    <w:rPr>
      <w:rFonts w:cs="Times New Roman"/>
    </w:rPr>
  </w:style>
  <w:style w:type="character" w:customStyle="1" w:styleId="ListLabel248">
    <w:name w:val="ListLabel 248"/>
    <w:qFormat/>
    <w:rPr>
      <w:rFonts w:cs="Times New Roman"/>
    </w:rPr>
  </w:style>
  <w:style w:type="character" w:customStyle="1" w:styleId="ListLabel249">
    <w:name w:val="ListLabel 249"/>
    <w:qFormat/>
    <w:rPr>
      <w:rFonts w:cs="Times New Roman"/>
    </w:rPr>
  </w:style>
  <w:style w:type="character" w:customStyle="1" w:styleId="ListLabel250">
    <w:name w:val="ListLabel 250"/>
    <w:qFormat/>
    <w:rPr>
      <w:rFonts w:cs="Times New Roman"/>
    </w:rPr>
  </w:style>
  <w:style w:type="character" w:customStyle="1" w:styleId="ListLabel251">
    <w:name w:val="ListLabel 251"/>
    <w:qFormat/>
    <w:rPr>
      <w:rFonts w:cs="Times New Roman"/>
    </w:rPr>
  </w:style>
  <w:style w:type="character" w:customStyle="1" w:styleId="ListLabel252">
    <w:name w:val="ListLabel 252"/>
    <w:qFormat/>
    <w:rPr>
      <w:rFonts w:cs="Times New Roman"/>
    </w:rPr>
  </w:style>
  <w:style w:type="character" w:customStyle="1" w:styleId="ListLabel253">
    <w:name w:val="ListLabel 253"/>
    <w:qFormat/>
    <w:rPr>
      <w:rFonts w:cs="Times New Roman"/>
    </w:rPr>
  </w:style>
  <w:style w:type="character" w:customStyle="1" w:styleId="ListLabel254">
    <w:name w:val="ListLabel 254"/>
    <w:qFormat/>
    <w:rPr>
      <w:rFonts w:cs="Times New Roman"/>
    </w:rPr>
  </w:style>
  <w:style w:type="character" w:customStyle="1" w:styleId="ListLabel255">
    <w:name w:val="ListLabel 255"/>
    <w:qFormat/>
    <w:rPr>
      <w:rFonts w:cs="Times New Roman"/>
    </w:rPr>
  </w:style>
  <w:style w:type="character" w:customStyle="1" w:styleId="ListLabel256">
    <w:name w:val="ListLabel 256"/>
    <w:qFormat/>
    <w:rPr>
      <w:rFonts w:cs="Times New Roman"/>
    </w:rPr>
  </w:style>
  <w:style w:type="character" w:customStyle="1" w:styleId="ListLabel257">
    <w:name w:val="ListLabel 257"/>
    <w:qFormat/>
    <w:rPr>
      <w:rFonts w:cs="Times New Roman"/>
    </w:rPr>
  </w:style>
  <w:style w:type="character" w:customStyle="1" w:styleId="ListLabel258">
    <w:name w:val="ListLabel 258"/>
    <w:qFormat/>
    <w:rPr>
      <w:rFonts w:cs="Times New Roman"/>
    </w:rPr>
  </w:style>
  <w:style w:type="character" w:customStyle="1" w:styleId="ListLabel259">
    <w:name w:val="ListLabel 259"/>
    <w:qFormat/>
    <w:rPr>
      <w:rFonts w:cs="Times New Roman"/>
    </w:rPr>
  </w:style>
  <w:style w:type="character" w:customStyle="1" w:styleId="ListLabel260">
    <w:name w:val="ListLabel 260"/>
    <w:qFormat/>
    <w:rPr>
      <w:rFonts w:cs="Times New Roman"/>
    </w:rPr>
  </w:style>
  <w:style w:type="character" w:customStyle="1" w:styleId="ListLabel261">
    <w:name w:val="ListLabel 261"/>
    <w:qFormat/>
    <w:rPr>
      <w:rFonts w:cs="Times New Roman"/>
    </w:rPr>
  </w:style>
  <w:style w:type="character" w:customStyle="1" w:styleId="ListLabel262">
    <w:name w:val="ListLabel 262"/>
    <w:qFormat/>
    <w:rPr>
      <w:rFonts w:cs="Times New Roman"/>
    </w:rPr>
  </w:style>
  <w:style w:type="character" w:customStyle="1" w:styleId="ListLabel263">
    <w:name w:val="ListLabel 263"/>
    <w:qFormat/>
    <w:rPr>
      <w:rFonts w:cs="Times New Roman"/>
    </w:rPr>
  </w:style>
  <w:style w:type="character" w:customStyle="1" w:styleId="ListLabel264">
    <w:name w:val="ListLabel 264"/>
    <w:qFormat/>
    <w:rPr>
      <w:rFonts w:cs="Times New Roman"/>
    </w:rPr>
  </w:style>
  <w:style w:type="character" w:customStyle="1" w:styleId="ListLabel265">
    <w:name w:val="ListLabel 265"/>
    <w:qFormat/>
    <w:rPr>
      <w:rFonts w:cs="Times New Roman"/>
    </w:rPr>
  </w:style>
  <w:style w:type="character" w:customStyle="1" w:styleId="ListLabel266">
    <w:name w:val="ListLabel 266"/>
    <w:qFormat/>
    <w:rPr>
      <w:rFonts w:cs="Times New Roman"/>
    </w:rPr>
  </w:style>
  <w:style w:type="character" w:customStyle="1" w:styleId="ListLabel267">
    <w:name w:val="ListLabel 267"/>
    <w:qFormat/>
    <w:rPr>
      <w:rFonts w:cs="Times New Roman"/>
    </w:rPr>
  </w:style>
  <w:style w:type="character" w:customStyle="1" w:styleId="ListLabel268">
    <w:name w:val="ListLabel 268"/>
    <w:qFormat/>
    <w:rPr>
      <w:rFonts w:cs="Times New Roman"/>
    </w:rPr>
  </w:style>
  <w:style w:type="character" w:customStyle="1" w:styleId="ListLabel269">
    <w:name w:val="ListLabel 269"/>
    <w:qFormat/>
    <w:rPr>
      <w:rFonts w:cs="Times New Roman"/>
    </w:rPr>
  </w:style>
  <w:style w:type="character" w:customStyle="1" w:styleId="ListLabel270">
    <w:name w:val="ListLabel 270"/>
    <w:qFormat/>
    <w:rPr>
      <w:rFonts w:cs="Times New Roman"/>
    </w:rPr>
  </w:style>
  <w:style w:type="character" w:customStyle="1" w:styleId="ListLabel271">
    <w:name w:val="ListLabel 271"/>
    <w:qFormat/>
    <w:rPr>
      <w:rFonts w:cs="Times New Roman"/>
    </w:rPr>
  </w:style>
  <w:style w:type="character" w:customStyle="1" w:styleId="ListLabel272">
    <w:name w:val="ListLabel 272"/>
    <w:qFormat/>
    <w:rPr>
      <w:rFonts w:cs="Times New Roman"/>
    </w:rPr>
  </w:style>
  <w:style w:type="character" w:customStyle="1" w:styleId="ListLabel273">
    <w:name w:val="ListLabel 273"/>
    <w:qFormat/>
    <w:rPr>
      <w:rFonts w:cs="Times New Roman"/>
    </w:rPr>
  </w:style>
  <w:style w:type="character" w:customStyle="1" w:styleId="ListLabel274">
    <w:name w:val="ListLabel 274"/>
    <w:qFormat/>
    <w:rPr>
      <w:rFonts w:cs="Times New Roman"/>
    </w:rPr>
  </w:style>
  <w:style w:type="character" w:customStyle="1" w:styleId="ListLabel275">
    <w:name w:val="ListLabel 275"/>
    <w:qFormat/>
    <w:rPr>
      <w:rFonts w:cs="Times New Roman"/>
    </w:rPr>
  </w:style>
  <w:style w:type="character" w:customStyle="1" w:styleId="ListLabel276">
    <w:name w:val="ListLabel 276"/>
    <w:qFormat/>
    <w:rPr>
      <w:rFonts w:cs="Times New Roman"/>
    </w:rPr>
  </w:style>
  <w:style w:type="character" w:customStyle="1" w:styleId="ListLabel277">
    <w:name w:val="ListLabel 277"/>
    <w:qFormat/>
    <w:rPr>
      <w:rFonts w:cs="Times New Roman"/>
    </w:rPr>
  </w:style>
  <w:style w:type="character" w:customStyle="1" w:styleId="ListLabel278">
    <w:name w:val="ListLabel 278"/>
    <w:qFormat/>
    <w:rPr>
      <w:rFonts w:cs="Times New Roman"/>
    </w:rPr>
  </w:style>
  <w:style w:type="character" w:customStyle="1" w:styleId="ListLabel279">
    <w:name w:val="ListLabel 279"/>
    <w:qFormat/>
    <w:rPr>
      <w:rFonts w:cs="Times New Roman"/>
    </w:rPr>
  </w:style>
  <w:style w:type="character" w:customStyle="1" w:styleId="ListLabel280">
    <w:name w:val="ListLabel 280"/>
    <w:qFormat/>
    <w:rPr>
      <w:rFonts w:cs="Times New Roman"/>
    </w:rPr>
  </w:style>
  <w:style w:type="character" w:customStyle="1" w:styleId="ListLabel281">
    <w:name w:val="ListLabel 281"/>
    <w:qFormat/>
    <w:rPr>
      <w:rFonts w:cs="Times New Roman"/>
    </w:rPr>
  </w:style>
  <w:style w:type="character" w:customStyle="1" w:styleId="ListLabel282">
    <w:name w:val="ListLabel 282"/>
    <w:qFormat/>
    <w:rPr>
      <w:rFonts w:cs="Times New Roman"/>
    </w:rPr>
  </w:style>
  <w:style w:type="character" w:customStyle="1" w:styleId="ListLabel283">
    <w:name w:val="ListLabel 283"/>
    <w:qFormat/>
    <w:rPr>
      <w:rFonts w:cs="Times New Roman"/>
    </w:rPr>
  </w:style>
  <w:style w:type="character" w:customStyle="1" w:styleId="ListLabel284">
    <w:name w:val="ListLabel 284"/>
    <w:qFormat/>
    <w:rPr>
      <w:rFonts w:cs="Times New Roman"/>
    </w:rPr>
  </w:style>
  <w:style w:type="character" w:customStyle="1" w:styleId="ListLabel285">
    <w:name w:val="ListLabel 285"/>
    <w:qFormat/>
    <w:rPr>
      <w:rFonts w:cs="Times New Roman"/>
    </w:rPr>
  </w:style>
  <w:style w:type="character" w:customStyle="1" w:styleId="ListLabel286">
    <w:name w:val="ListLabel 286"/>
    <w:qFormat/>
    <w:rPr>
      <w:rFonts w:cs="Times New Roman"/>
    </w:rPr>
  </w:style>
  <w:style w:type="character" w:customStyle="1" w:styleId="ListLabel287">
    <w:name w:val="ListLabel 287"/>
    <w:qFormat/>
    <w:rPr>
      <w:rFonts w:cs="Times New Roman"/>
    </w:rPr>
  </w:style>
  <w:style w:type="character" w:customStyle="1" w:styleId="ListLabel288">
    <w:name w:val="ListLabel 288"/>
    <w:qFormat/>
    <w:rPr>
      <w:rFonts w:cs="Times New Roman"/>
    </w:rPr>
  </w:style>
  <w:style w:type="character" w:customStyle="1" w:styleId="ListLabel289">
    <w:name w:val="ListLabel 289"/>
    <w:qFormat/>
    <w:rPr>
      <w:rFonts w:cs="Times New Roman"/>
    </w:rPr>
  </w:style>
  <w:style w:type="character" w:customStyle="1" w:styleId="ListLabel290">
    <w:name w:val="ListLabel 290"/>
    <w:qFormat/>
    <w:rPr>
      <w:rFonts w:cs="Times New Roman"/>
    </w:rPr>
  </w:style>
  <w:style w:type="character" w:customStyle="1" w:styleId="ListLabel291">
    <w:name w:val="ListLabel 291"/>
    <w:qFormat/>
    <w:rPr>
      <w:rFonts w:cs="Times New Roman"/>
    </w:rPr>
  </w:style>
  <w:style w:type="character" w:customStyle="1" w:styleId="ListLabel292">
    <w:name w:val="ListLabel 292"/>
    <w:qFormat/>
    <w:rPr>
      <w:rFonts w:cs="Times New Roman"/>
    </w:rPr>
  </w:style>
  <w:style w:type="character" w:customStyle="1" w:styleId="ListLabel293">
    <w:name w:val="ListLabel 293"/>
    <w:qFormat/>
    <w:rPr>
      <w:rFonts w:cs="Times New Roman"/>
    </w:rPr>
  </w:style>
  <w:style w:type="character" w:customStyle="1" w:styleId="ListLabel294">
    <w:name w:val="ListLabel 294"/>
    <w:qFormat/>
    <w:rPr>
      <w:rFonts w:cs="Times New Roman"/>
    </w:rPr>
  </w:style>
  <w:style w:type="character" w:customStyle="1" w:styleId="ListLabel295">
    <w:name w:val="ListLabel 295"/>
    <w:qFormat/>
    <w:rPr>
      <w:rFonts w:cs="Times New Roman"/>
    </w:rPr>
  </w:style>
  <w:style w:type="character" w:customStyle="1" w:styleId="ListLabel296">
    <w:name w:val="ListLabel 296"/>
    <w:qFormat/>
    <w:rPr>
      <w:rFonts w:cs="Times New Roman"/>
    </w:rPr>
  </w:style>
  <w:style w:type="character" w:customStyle="1" w:styleId="ListLabel297">
    <w:name w:val="ListLabel 297"/>
    <w:qFormat/>
    <w:rPr>
      <w:rFonts w:cs="Times New Roman"/>
    </w:rPr>
  </w:style>
  <w:style w:type="character" w:customStyle="1" w:styleId="ListLabel298">
    <w:name w:val="ListLabel 298"/>
    <w:qFormat/>
    <w:rPr>
      <w:rFonts w:cs="Times New Roman"/>
    </w:rPr>
  </w:style>
  <w:style w:type="character" w:customStyle="1" w:styleId="ListLabel299">
    <w:name w:val="ListLabel 299"/>
    <w:qFormat/>
    <w:rPr>
      <w:rFonts w:cs="Times New Roman"/>
    </w:rPr>
  </w:style>
  <w:style w:type="character" w:customStyle="1" w:styleId="ListLabel300">
    <w:name w:val="ListLabel 300"/>
    <w:qFormat/>
    <w:rPr>
      <w:rFonts w:cs="Times New Roman"/>
    </w:rPr>
  </w:style>
  <w:style w:type="character" w:customStyle="1" w:styleId="ListLabel301">
    <w:name w:val="ListLabel 301"/>
    <w:qFormat/>
    <w:rPr>
      <w:rFonts w:cs="Times New Roman"/>
    </w:rPr>
  </w:style>
  <w:style w:type="character" w:customStyle="1" w:styleId="ListLabel302">
    <w:name w:val="ListLabel 302"/>
    <w:qFormat/>
    <w:rPr>
      <w:rFonts w:cs="Times New Roman"/>
    </w:rPr>
  </w:style>
  <w:style w:type="character" w:customStyle="1" w:styleId="ListLabel303">
    <w:name w:val="ListLabel 303"/>
    <w:qFormat/>
    <w:rPr>
      <w:rFonts w:cs="Times New Roman"/>
    </w:rPr>
  </w:style>
  <w:style w:type="character" w:customStyle="1" w:styleId="ListLabel304">
    <w:name w:val="ListLabel 304"/>
    <w:qFormat/>
    <w:rPr>
      <w:rFonts w:cs="Times New Roman"/>
    </w:rPr>
  </w:style>
  <w:style w:type="character" w:customStyle="1" w:styleId="ListLabel305">
    <w:name w:val="ListLabel 305"/>
    <w:qFormat/>
    <w:rPr>
      <w:rFonts w:cs="Times New Roman"/>
    </w:rPr>
  </w:style>
  <w:style w:type="character" w:customStyle="1" w:styleId="ListLabel306">
    <w:name w:val="ListLabel 306"/>
    <w:qFormat/>
    <w:rPr>
      <w:rFonts w:cs="Times New Roman"/>
    </w:rPr>
  </w:style>
  <w:style w:type="character" w:customStyle="1" w:styleId="ListLabel307">
    <w:name w:val="ListLabel 307"/>
    <w:qFormat/>
    <w:rPr>
      <w:rFonts w:cs="Times New Roman"/>
    </w:rPr>
  </w:style>
  <w:style w:type="character" w:customStyle="1" w:styleId="ListLabel308">
    <w:name w:val="ListLabel 308"/>
    <w:qFormat/>
    <w:rPr>
      <w:rFonts w:cs="Times New Roman"/>
    </w:rPr>
  </w:style>
  <w:style w:type="character" w:customStyle="1" w:styleId="ListLabel309">
    <w:name w:val="ListLabel 309"/>
    <w:qFormat/>
    <w:rPr>
      <w:rFonts w:cs="Times New Roman"/>
    </w:rPr>
  </w:style>
  <w:style w:type="character" w:customStyle="1" w:styleId="ListLabel310">
    <w:name w:val="ListLabel 310"/>
    <w:qFormat/>
    <w:rPr>
      <w:rFonts w:cs="Times New Roman"/>
    </w:rPr>
  </w:style>
  <w:style w:type="character" w:customStyle="1" w:styleId="ListLabel311">
    <w:name w:val="ListLabel 311"/>
    <w:qFormat/>
    <w:rPr>
      <w:rFonts w:cs="Times New Roman"/>
    </w:rPr>
  </w:style>
  <w:style w:type="character" w:customStyle="1" w:styleId="ListLabel312">
    <w:name w:val="ListLabel 312"/>
    <w:qFormat/>
    <w:rPr>
      <w:rFonts w:cs="Times New Roman"/>
    </w:rPr>
  </w:style>
  <w:style w:type="character" w:customStyle="1" w:styleId="ListLabel313">
    <w:name w:val="ListLabel 313"/>
    <w:qFormat/>
    <w:rPr>
      <w:rFonts w:cs="Times New Roman"/>
    </w:rPr>
  </w:style>
  <w:style w:type="character" w:customStyle="1" w:styleId="ListLabel314">
    <w:name w:val="ListLabel 314"/>
    <w:qFormat/>
    <w:rPr>
      <w:rFonts w:cs="Times New Roman"/>
    </w:rPr>
  </w:style>
  <w:style w:type="character" w:customStyle="1" w:styleId="ListLabel315">
    <w:name w:val="ListLabel 315"/>
    <w:qFormat/>
    <w:rPr>
      <w:rFonts w:cs="Times New Roman"/>
    </w:rPr>
  </w:style>
  <w:style w:type="character" w:customStyle="1" w:styleId="ListLabel316">
    <w:name w:val="ListLabel 316"/>
    <w:qFormat/>
    <w:rPr>
      <w:rFonts w:cs="Times New Roman"/>
    </w:rPr>
  </w:style>
  <w:style w:type="character" w:customStyle="1" w:styleId="ListLabel317">
    <w:name w:val="ListLabel 317"/>
    <w:qFormat/>
    <w:rPr>
      <w:rFonts w:cs="Times New Roman"/>
    </w:rPr>
  </w:style>
  <w:style w:type="character" w:customStyle="1" w:styleId="ListLabel318">
    <w:name w:val="ListLabel 318"/>
    <w:qFormat/>
    <w:rPr>
      <w:rFonts w:cs="Times New Roman"/>
    </w:rPr>
  </w:style>
  <w:style w:type="character" w:customStyle="1" w:styleId="ListLabel319">
    <w:name w:val="ListLabel 319"/>
    <w:qFormat/>
    <w:rPr>
      <w:rFonts w:cs="Times New Roman"/>
    </w:rPr>
  </w:style>
  <w:style w:type="character" w:customStyle="1" w:styleId="ListLabel320">
    <w:name w:val="ListLabel 320"/>
    <w:qFormat/>
    <w:rPr>
      <w:rFonts w:cs="Times New Roman"/>
    </w:rPr>
  </w:style>
  <w:style w:type="character" w:customStyle="1" w:styleId="ListLabel321">
    <w:name w:val="ListLabel 321"/>
    <w:qFormat/>
    <w:rPr>
      <w:rFonts w:cs="Times New Roman"/>
    </w:rPr>
  </w:style>
  <w:style w:type="character" w:customStyle="1" w:styleId="ListLabel322">
    <w:name w:val="ListLabel 322"/>
    <w:qFormat/>
    <w:rPr>
      <w:rFonts w:cs="Times New Roman"/>
    </w:rPr>
  </w:style>
  <w:style w:type="character" w:customStyle="1" w:styleId="ListLabel323">
    <w:name w:val="ListLabel 323"/>
    <w:qFormat/>
    <w:rPr>
      <w:rFonts w:cs="Times New Roman"/>
    </w:rPr>
  </w:style>
  <w:style w:type="character" w:customStyle="1" w:styleId="ListLabel324">
    <w:name w:val="ListLabel 324"/>
    <w:qFormat/>
    <w:rPr>
      <w:rFonts w:cs="Times New Roman"/>
    </w:rPr>
  </w:style>
  <w:style w:type="character" w:customStyle="1" w:styleId="ListLabel325">
    <w:name w:val="ListLabel 325"/>
    <w:qFormat/>
    <w:rPr>
      <w:rFonts w:cs="Times New Roman"/>
    </w:rPr>
  </w:style>
  <w:style w:type="character" w:customStyle="1" w:styleId="ListLabel326">
    <w:name w:val="ListLabel 326"/>
    <w:qFormat/>
    <w:rPr>
      <w:rFonts w:cs="Times New Roman"/>
    </w:rPr>
  </w:style>
  <w:style w:type="character" w:customStyle="1" w:styleId="ListLabel327">
    <w:name w:val="ListLabel 327"/>
    <w:qFormat/>
    <w:rPr>
      <w:rFonts w:cs="Times New Roman"/>
    </w:rPr>
  </w:style>
  <w:style w:type="character" w:customStyle="1" w:styleId="ListLabel328">
    <w:name w:val="ListLabel 328"/>
    <w:qFormat/>
    <w:rPr>
      <w:rFonts w:cs="Times New Roman"/>
    </w:rPr>
  </w:style>
  <w:style w:type="character" w:customStyle="1" w:styleId="ListLabel329">
    <w:name w:val="ListLabel 329"/>
    <w:qFormat/>
    <w:rPr>
      <w:rFonts w:cs="Times New Roman"/>
    </w:rPr>
  </w:style>
  <w:style w:type="character" w:customStyle="1" w:styleId="ListLabel330">
    <w:name w:val="ListLabel 330"/>
    <w:qFormat/>
    <w:rPr>
      <w:rFonts w:cs="Times New Roman"/>
    </w:rPr>
  </w:style>
  <w:style w:type="character" w:customStyle="1" w:styleId="ListLabel331">
    <w:name w:val="ListLabel 331"/>
    <w:qFormat/>
    <w:rPr>
      <w:rFonts w:cs="Times New Roman"/>
    </w:rPr>
  </w:style>
  <w:style w:type="character" w:customStyle="1" w:styleId="ListLabel332">
    <w:name w:val="ListLabel 332"/>
    <w:qFormat/>
    <w:rPr>
      <w:rFonts w:cs="Times New Roman"/>
    </w:rPr>
  </w:style>
  <w:style w:type="character" w:customStyle="1" w:styleId="ListLabel333">
    <w:name w:val="ListLabel 333"/>
    <w:qFormat/>
    <w:rPr>
      <w:rFonts w:cs="Times New Roman"/>
    </w:rPr>
  </w:style>
  <w:style w:type="character" w:customStyle="1" w:styleId="ListLabel334">
    <w:name w:val="ListLabel 334"/>
    <w:qFormat/>
    <w:rPr>
      <w:rFonts w:cs="Times New Roman"/>
    </w:rPr>
  </w:style>
  <w:style w:type="character" w:customStyle="1" w:styleId="ListLabel335">
    <w:name w:val="ListLabel 335"/>
    <w:qFormat/>
    <w:rPr>
      <w:rFonts w:cs="Times New Roman"/>
    </w:rPr>
  </w:style>
  <w:style w:type="character" w:customStyle="1" w:styleId="ListLabel336">
    <w:name w:val="ListLabel 336"/>
    <w:qFormat/>
    <w:rPr>
      <w:rFonts w:cs="Times New Roman"/>
    </w:rPr>
  </w:style>
  <w:style w:type="character" w:customStyle="1" w:styleId="ListLabel337">
    <w:name w:val="ListLabel 337"/>
    <w:qFormat/>
    <w:rPr>
      <w:rFonts w:cs="Times New Roman"/>
    </w:rPr>
  </w:style>
  <w:style w:type="character" w:customStyle="1" w:styleId="ListLabel338">
    <w:name w:val="ListLabel 338"/>
    <w:qFormat/>
    <w:rPr>
      <w:rFonts w:cs="Times New Roman"/>
    </w:rPr>
  </w:style>
  <w:style w:type="character" w:customStyle="1" w:styleId="ListLabel339">
    <w:name w:val="ListLabel 339"/>
    <w:qFormat/>
    <w:rPr>
      <w:rFonts w:cs="Times New Roman"/>
    </w:rPr>
  </w:style>
  <w:style w:type="character" w:customStyle="1" w:styleId="ListLabel340">
    <w:name w:val="ListLabel 340"/>
    <w:qFormat/>
    <w:rPr>
      <w:rFonts w:cs="Times New Roman"/>
    </w:rPr>
  </w:style>
  <w:style w:type="character" w:customStyle="1" w:styleId="ListLabel341">
    <w:name w:val="ListLabel 341"/>
    <w:qFormat/>
    <w:rPr>
      <w:rFonts w:cs="Times New Roman"/>
    </w:rPr>
  </w:style>
  <w:style w:type="character" w:customStyle="1" w:styleId="ListLabel342">
    <w:name w:val="ListLabel 342"/>
    <w:qFormat/>
    <w:rPr>
      <w:rFonts w:cs="Times New Roman"/>
    </w:rPr>
  </w:style>
  <w:style w:type="character" w:customStyle="1" w:styleId="ListLabel343">
    <w:name w:val="ListLabel 343"/>
    <w:qFormat/>
    <w:rPr>
      <w:rFonts w:cs="Times New Roman"/>
    </w:rPr>
  </w:style>
  <w:style w:type="character" w:customStyle="1" w:styleId="ListLabel344">
    <w:name w:val="ListLabel 344"/>
    <w:qFormat/>
    <w:rPr>
      <w:rFonts w:cs="Times New Roman"/>
    </w:rPr>
  </w:style>
  <w:style w:type="character" w:customStyle="1" w:styleId="ListLabel345">
    <w:name w:val="ListLabel 345"/>
    <w:qFormat/>
    <w:rPr>
      <w:rFonts w:cs="Times New Roman"/>
    </w:rPr>
  </w:style>
  <w:style w:type="character" w:customStyle="1" w:styleId="ListLabel346">
    <w:name w:val="ListLabel 346"/>
    <w:qFormat/>
    <w:rPr>
      <w:rFonts w:cs="Times New Roman"/>
    </w:rPr>
  </w:style>
  <w:style w:type="character" w:customStyle="1" w:styleId="ListLabel347">
    <w:name w:val="ListLabel 347"/>
    <w:qFormat/>
    <w:rPr>
      <w:rFonts w:cs="Times New Roman"/>
    </w:rPr>
  </w:style>
  <w:style w:type="character" w:customStyle="1" w:styleId="ListLabel348">
    <w:name w:val="ListLabel 348"/>
    <w:qFormat/>
    <w:rPr>
      <w:rFonts w:cs="Times New Roman"/>
    </w:rPr>
  </w:style>
  <w:style w:type="character" w:customStyle="1" w:styleId="ListLabel349">
    <w:name w:val="ListLabel 349"/>
    <w:qFormat/>
    <w:rPr>
      <w:rFonts w:cs="Times New Roman"/>
    </w:rPr>
  </w:style>
  <w:style w:type="character" w:customStyle="1" w:styleId="ListLabel350">
    <w:name w:val="ListLabel 350"/>
    <w:qFormat/>
    <w:rPr>
      <w:rFonts w:cs="Times New Roman"/>
    </w:rPr>
  </w:style>
  <w:style w:type="character" w:customStyle="1" w:styleId="ListLabel351">
    <w:name w:val="ListLabel 351"/>
    <w:qFormat/>
    <w:rPr>
      <w:rFonts w:cs="Times New Roman"/>
    </w:rPr>
  </w:style>
  <w:style w:type="character" w:customStyle="1" w:styleId="ListLabel352">
    <w:name w:val="ListLabel 352"/>
    <w:qFormat/>
    <w:rPr>
      <w:rFonts w:cs="Times New Roman"/>
    </w:rPr>
  </w:style>
  <w:style w:type="character" w:customStyle="1" w:styleId="ListLabel353">
    <w:name w:val="ListLabel 353"/>
    <w:qFormat/>
    <w:rPr>
      <w:rFonts w:cs="Times New Roman"/>
    </w:rPr>
  </w:style>
  <w:style w:type="character" w:customStyle="1" w:styleId="ListLabel354">
    <w:name w:val="ListLabel 354"/>
    <w:qFormat/>
    <w:rPr>
      <w:rFonts w:cs="Times New Roman"/>
    </w:rPr>
  </w:style>
  <w:style w:type="character" w:customStyle="1" w:styleId="ListLabel355">
    <w:name w:val="ListLabel 355"/>
    <w:qFormat/>
    <w:rPr>
      <w:rFonts w:cs="Times New Roman"/>
    </w:rPr>
  </w:style>
  <w:style w:type="character" w:customStyle="1" w:styleId="ListLabel356">
    <w:name w:val="ListLabel 356"/>
    <w:qFormat/>
    <w:rPr>
      <w:rFonts w:cs="Times New Roman"/>
    </w:rPr>
  </w:style>
  <w:style w:type="character" w:customStyle="1" w:styleId="ListLabel357">
    <w:name w:val="ListLabel 357"/>
    <w:qFormat/>
    <w:rPr>
      <w:rFonts w:cs="Times New Roman"/>
    </w:rPr>
  </w:style>
  <w:style w:type="character" w:customStyle="1" w:styleId="ListLabel358">
    <w:name w:val="ListLabel 358"/>
    <w:qFormat/>
    <w:rPr>
      <w:rFonts w:cs="Times New Roman"/>
    </w:rPr>
  </w:style>
  <w:style w:type="character" w:customStyle="1" w:styleId="ListLabel359">
    <w:name w:val="ListLabel 359"/>
    <w:qFormat/>
    <w:rPr>
      <w:rFonts w:cs="Times New Roman"/>
    </w:rPr>
  </w:style>
  <w:style w:type="character" w:customStyle="1" w:styleId="ListLabel360">
    <w:name w:val="ListLabel 360"/>
    <w:qFormat/>
    <w:rPr>
      <w:rFonts w:cs="Times New Roman"/>
    </w:rPr>
  </w:style>
  <w:style w:type="character" w:customStyle="1" w:styleId="ListLabel361">
    <w:name w:val="ListLabel 361"/>
    <w:qFormat/>
    <w:rPr>
      <w:rFonts w:cs="Times New Roman"/>
    </w:rPr>
  </w:style>
  <w:style w:type="character" w:customStyle="1" w:styleId="ListLabel362">
    <w:name w:val="ListLabel 362"/>
    <w:qFormat/>
    <w:rPr>
      <w:rFonts w:cs="Times New Roman"/>
    </w:rPr>
  </w:style>
  <w:style w:type="character" w:customStyle="1" w:styleId="ListLabel363">
    <w:name w:val="ListLabel 363"/>
    <w:qFormat/>
    <w:rPr>
      <w:rFonts w:cs="Times New Roman"/>
    </w:rPr>
  </w:style>
  <w:style w:type="character" w:customStyle="1" w:styleId="ListLabel364">
    <w:name w:val="ListLabel 364"/>
    <w:qFormat/>
    <w:rPr>
      <w:rFonts w:cs="Times New Roman"/>
    </w:rPr>
  </w:style>
  <w:style w:type="character" w:customStyle="1" w:styleId="ListLabel365">
    <w:name w:val="ListLabel 365"/>
    <w:qFormat/>
    <w:rPr>
      <w:rFonts w:cs="Times New Roman"/>
    </w:rPr>
  </w:style>
  <w:style w:type="character" w:customStyle="1" w:styleId="ListLabel366">
    <w:name w:val="ListLabel 366"/>
    <w:qFormat/>
    <w:rPr>
      <w:rFonts w:cs="Times New Roman"/>
    </w:rPr>
  </w:style>
  <w:style w:type="character" w:customStyle="1" w:styleId="ListLabel367">
    <w:name w:val="ListLabel 367"/>
    <w:qFormat/>
    <w:rPr>
      <w:rFonts w:cs="Times New Roman"/>
    </w:rPr>
  </w:style>
  <w:style w:type="character" w:customStyle="1" w:styleId="ListLabel368">
    <w:name w:val="ListLabel 368"/>
    <w:qFormat/>
    <w:rPr>
      <w:rFonts w:cs="Times New Roman"/>
    </w:rPr>
  </w:style>
  <w:style w:type="character" w:customStyle="1" w:styleId="ListLabel369">
    <w:name w:val="ListLabel 369"/>
    <w:qFormat/>
    <w:rPr>
      <w:rFonts w:cs="Times New Roman"/>
    </w:rPr>
  </w:style>
  <w:style w:type="character" w:customStyle="1" w:styleId="ListLabel370">
    <w:name w:val="ListLabel 370"/>
    <w:qFormat/>
    <w:rPr>
      <w:rFonts w:cs="Times New Roman"/>
    </w:rPr>
  </w:style>
  <w:style w:type="character" w:customStyle="1" w:styleId="ListLabel371">
    <w:name w:val="ListLabel 371"/>
    <w:qFormat/>
    <w:rPr>
      <w:rFonts w:cs="Times New Roman"/>
    </w:rPr>
  </w:style>
  <w:style w:type="character" w:customStyle="1" w:styleId="ListLabel372">
    <w:name w:val="ListLabel 372"/>
    <w:qFormat/>
    <w:rPr>
      <w:rFonts w:cs="Times New Roman"/>
    </w:rPr>
  </w:style>
  <w:style w:type="character" w:customStyle="1" w:styleId="ListLabel373">
    <w:name w:val="ListLabel 373"/>
    <w:qFormat/>
    <w:rPr>
      <w:rFonts w:cs="Times New Roman"/>
    </w:rPr>
  </w:style>
  <w:style w:type="character" w:customStyle="1" w:styleId="ListLabel374">
    <w:name w:val="ListLabel 374"/>
    <w:qFormat/>
    <w:rPr>
      <w:rFonts w:cs="Times New Roman"/>
    </w:rPr>
  </w:style>
  <w:style w:type="character" w:customStyle="1" w:styleId="ListLabel375">
    <w:name w:val="ListLabel 375"/>
    <w:qFormat/>
    <w:rPr>
      <w:rFonts w:cs="Times New Roman"/>
    </w:rPr>
  </w:style>
  <w:style w:type="character" w:customStyle="1" w:styleId="ListLabel376">
    <w:name w:val="ListLabel 376"/>
    <w:qFormat/>
    <w:rPr>
      <w:rFonts w:cs="Times New Roman"/>
    </w:rPr>
  </w:style>
  <w:style w:type="character" w:customStyle="1" w:styleId="ListLabel377">
    <w:name w:val="ListLabel 377"/>
    <w:qFormat/>
    <w:rPr>
      <w:rFonts w:cs="Times New Roman"/>
    </w:rPr>
  </w:style>
  <w:style w:type="character" w:customStyle="1" w:styleId="ListLabel378">
    <w:name w:val="ListLabel 378"/>
    <w:qFormat/>
    <w:rPr>
      <w:rFonts w:cs="Times New Roman"/>
    </w:rPr>
  </w:style>
  <w:style w:type="character" w:customStyle="1" w:styleId="ListLabel379">
    <w:name w:val="ListLabel 379"/>
    <w:qFormat/>
    <w:rPr>
      <w:rFonts w:cs="Times New Roman"/>
    </w:rPr>
  </w:style>
  <w:style w:type="character" w:customStyle="1" w:styleId="ListLabel380">
    <w:name w:val="ListLabel 380"/>
    <w:qFormat/>
    <w:rPr>
      <w:rFonts w:cs="Times New Roman"/>
    </w:rPr>
  </w:style>
  <w:style w:type="character" w:customStyle="1" w:styleId="ListLabel381">
    <w:name w:val="ListLabel 381"/>
    <w:qFormat/>
    <w:rPr>
      <w:rFonts w:cs="Times New Roman"/>
    </w:rPr>
  </w:style>
  <w:style w:type="character" w:customStyle="1" w:styleId="ListLabel382">
    <w:name w:val="ListLabel 382"/>
    <w:qFormat/>
    <w:rPr>
      <w:rFonts w:cs="Times New Roman"/>
    </w:rPr>
  </w:style>
  <w:style w:type="character" w:customStyle="1" w:styleId="ListLabel383">
    <w:name w:val="ListLabel 383"/>
    <w:qFormat/>
    <w:rPr>
      <w:rFonts w:cs="Times New Roman"/>
    </w:rPr>
  </w:style>
  <w:style w:type="character" w:customStyle="1" w:styleId="ListLabel384">
    <w:name w:val="ListLabel 384"/>
    <w:qFormat/>
    <w:rPr>
      <w:rFonts w:cs="Times New Roman"/>
    </w:rPr>
  </w:style>
  <w:style w:type="character" w:customStyle="1" w:styleId="ListLabel385">
    <w:name w:val="ListLabel 385"/>
    <w:qFormat/>
    <w:rPr>
      <w:rFonts w:cs="Times New Roman"/>
    </w:rPr>
  </w:style>
  <w:style w:type="character" w:customStyle="1" w:styleId="ListLabel386">
    <w:name w:val="ListLabel 386"/>
    <w:qFormat/>
    <w:rPr>
      <w:rFonts w:cs="Times New Roman"/>
    </w:rPr>
  </w:style>
  <w:style w:type="character" w:customStyle="1" w:styleId="ListLabel387">
    <w:name w:val="ListLabel 387"/>
    <w:qFormat/>
    <w:rPr>
      <w:rFonts w:cs="Times New Roman"/>
    </w:rPr>
  </w:style>
  <w:style w:type="character" w:customStyle="1" w:styleId="ListLabel388">
    <w:name w:val="ListLabel 388"/>
    <w:qFormat/>
    <w:rPr>
      <w:rFonts w:cs="Times New Roman"/>
    </w:rPr>
  </w:style>
  <w:style w:type="character" w:customStyle="1" w:styleId="ListLabel389">
    <w:name w:val="ListLabel 389"/>
    <w:qFormat/>
    <w:rPr>
      <w:rFonts w:cs="Times New Roman"/>
    </w:rPr>
  </w:style>
  <w:style w:type="character" w:customStyle="1" w:styleId="ListLabel390">
    <w:name w:val="ListLabel 390"/>
    <w:qFormat/>
    <w:rPr>
      <w:rFonts w:cs="Times New Roman"/>
    </w:rPr>
  </w:style>
  <w:style w:type="character" w:customStyle="1" w:styleId="ListLabel391">
    <w:name w:val="ListLabel 391"/>
    <w:qFormat/>
    <w:rPr>
      <w:rFonts w:cs="Times New Roman"/>
    </w:rPr>
  </w:style>
  <w:style w:type="character" w:customStyle="1" w:styleId="ListLabel392">
    <w:name w:val="ListLabel 392"/>
    <w:qFormat/>
    <w:rPr>
      <w:rFonts w:cs="Times New Roman"/>
    </w:rPr>
  </w:style>
  <w:style w:type="character" w:customStyle="1" w:styleId="ListLabel393">
    <w:name w:val="ListLabel 393"/>
    <w:qFormat/>
    <w:rPr>
      <w:rFonts w:cs="Times New Roman"/>
    </w:rPr>
  </w:style>
  <w:style w:type="character" w:customStyle="1" w:styleId="ListLabel394">
    <w:name w:val="ListLabel 394"/>
    <w:qFormat/>
    <w:rPr>
      <w:rFonts w:cs="Times New Roman"/>
    </w:rPr>
  </w:style>
  <w:style w:type="character" w:customStyle="1" w:styleId="ListLabel395">
    <w:name w:val="ListLabel 395"/>
    <w:qFormat/>
    <w:rPr>
      <w:rFonts w:cs="Times New Roman"/>
    </w:rPr>
  </w:style>
  <w:style w:type="character" w:customStyle="1" w:styleId="ListLabel396">
    <w:name w:val="ListLabel 396"/>
    <w:qFormat/>
    <w:rPr>
      <w:rFonts w:cs="Times New Roman"/>
    </w:rPr>
  </w:style>
  <w:style w:type="character" w:customStyle="1" w:styleId="ListLabel397">
    <w:name w:val="ListLabel 397"/>
    <w:qFormat/>
    <w:rPr>
      <w:rFonts w:cs="Times New Roman"/>
    </w:rPr>
  </w:style>
  <w:style w:type="character" w:customStyle="1" w:styleId="ListLabel398">
    <w:name w:val="ListLabel 398"/>
    <w:qFormat/>
    <w:rPr>
      <w:rFonts w:cs="Times New Roman"/>
    </w:rPr>
  </w:style>
  <w:style w:type="character" w:customStyle="1" w:styleId="ListLabel399">
    <w:name w:val="ListLabel 399"/>
    <w:qFormat/>
    <w:rPr>
      <w:rFonts w:cs="Times New Roman"/>
    </w:rPr>
  </w:style>
  <w:style w:type="character" w:customStyle="1" w:styleId="ListLabel400">
    <w:name w:val="ListLabel 400"/>
    <w:qFormat/>
    <w:rPr>
      <w:rFonts w:cs="Times New Roman"/>
    </w:rPr>
  </w:style>
  <w:style w:type="character" w:customStyle="1" w:styleId="ListLabel401">
    <w:name w:val="ListLabel 401"/>
    <w:qFormat/>
    <w:rPr>
      <w:rFonts w:cs="Times New Roman"/>
    </w:rPr>
  </w:style>
  <w:style w:type="character" w:customStyle="1" w:styleId="ListLabel402">
    <w:name w:val="ListLabel 402"/>
    <w:qFormat/>
    <w:rPr>
      <w:rFonts w:cs="Times New Roman"/>
    </w:rPr>
  </w:style>
  <w:style w:type="character" w:customStyle="1" w:styleId="ListLabel403">
    <w:name w:val="ListLabel 403"/>
    <w:qFormat/>
    <w:rPr>
      <w:rFonts w:cs="Times New Roman"/>
    </w:rPr>
  </w:style>
  <w:style w:type="character" w:customStyle="1" w:styleId="ListLabel404">
    <w:name w:val="ListLabel 404"/>
    <w:qFormat/>
    <w:rPr>
      <w:rFonts w:cs="Times New Roman"/>
    </w:rPr>
  </w:style>
  <w:style w:type="character" w:customStyle="1" w:styleId="ListLabel405">
    <w:name w:val="ListLabel 405"/>
    <w:qFormat/>
    <w:rPr>
      <w:rFonts w:cs="Times New Roman"/>
    </w:rPr>
  </w:style>
  <w:style w:type="character" w:customStyle="1" w:styleId="ListLabel406">
    <w:name w:val="ListLabel 406"/>
    <w:qFormat/>
    <w:rPr>
      <w:rFonts w:cs="Times New Roman"/>
    </w:rPr>
  </w:style>
  <w:style w:type="character" w:customStyle="1" w:styleId="ListLabel407">
    <w:name w:val="ListLabel 407"/>
    <w:qFormat/>
    <w:rPr>
      <w:rFonts w:cs="Times New Roman"/>
    </w:rPr>
  </w:style>
  <w:style w:type="character" w:customStyle="1" w:styleId="ListLabel408">
    <w:name w:val="ListLabel 408"/>
    <w:qFormat/>
    <w:rPr>
      <w:rFonts w:cs="Times New Roman"/>
    </w:rPr>
  </w:style>
  <w:style w:type="character" w:customStyle="1" w:styleId="ListLabel409">
    <w:name w:val="ListLabel 409"/>
    <w:qFormat/>
    <w:rPr>
      <w:rFonts w:cs="Times New Roman"/>
    </w:rPr>
  </w:style>
  <w:style w:type="character" w:customStyle="1" w:styleId="ListLabel410">
    <w:name w:val="ListLabel 410"/>
    <w:qFormat/>
    <w:rPr>
      <w:rFonts w:cs="Times New Roman"/>
    </w:rPr>
  </w:style>
  <w:style w:type="character" w:customStyle="1" w:styleId="ListLabel411">
    <w:name w:val="ListLabel 411"/>
    <w:qFormat/>
    <w:rPr>
      <w:rFonts w:cs="Times New Roman"/>
    </w:rPr>
  </w:style>
  <w:style w:type="character" w:customStyle="1" w:styleId="ListLabel412">
    <w:name w:val="ListLabel 412"/>
    <w:qFormat/>
    <w:rPr>
      <w:rFonts w:cs="Times New Roman"/>
    </w:rPr>
  </w:style>
  <w:style w:type="character" w:customStyle="1" w:styleId="ListLabel413">
    <w:name w:val="ListLabel 413"/>
    <w:qFormat/>
    <w:rPr>
      <w:rFonts w:cs="Times New Roman"/>
    </w:rPr>
  </w:style>
  <w:style w:type="character" w:customStyle="1" w:styleId="ListLabel414">
    <w:name w:val="ListLabel 414"/>
    <w:qFormat/>
    <w:rPr>
      <w:rFonts w:cs="Times New Roman"/>
    </w:rPr>
  </w:style>
  <w:style w:type="character" w:customStyle="1" w:styleId="ListLabel415">
    <w:name w:val="ListLabel 415"/>
    <w:qFormat/>
    <w:rPr>
      <w:rFonts w:cs="Times New Roman"/>
    </w:rPr>
  </w:style>
  <w:style w:type="character" w:customStyle="1" w:styleId="ListLabel416">
    <w:name w:val="ListLabel 416"/>
    <w:qFormat/>
    <w:rPr>
      <w:rFonts w:cs="Times New Roman"/>
    </w:rPr>
  </w:style>
  <w:style w:type="character" w:customStyle="1" w:styleId="ListLabel417">
    <w:name w:val="ListLabel 417"/>
    <w:qFormat/>
    <w:rPr>
      <w:rFonts w:cs="Times New Roman"/>
    </w:rPr>
  </w:style>
  <w:style w:type="character" w:customStyle="1" w:styleId="ListLabel418">
    <w:name w:val="ListLabel 418"/>
    <w:qFormat/>
    <w:rPr>
      <w:rFonts w:cs="Times New Roman"/>
    </w:rPr>
  </w:style>
  <w:style w:type="character" w:customStyle="1" w:styleId="ListLabel419">
    <w:name w:val="ListLabel 419"/>
    <w:qFormat/>
    <w:rPr>
      <w:rFonts w:cs="Times New Roman"/>
    </w:rPr>
  </w:style>
  <w:style w:type="character" w:customStyle="1" w:styleId="ListLabel420">
    <w:name w:val="ListLabel 420"/>
    <w:qFormat/>
    <w:rPr>
      <w:rFonts w:cs="Times New Roman"/>
    </w:rPr>
  </w:style>
  <w:style w:type="character" w:customStyle="1" w:styleId="ListLabel421">
    <w:name w:val="ListLabel 421"/>
    <w:qFormat/>
    <w:rPr>
      <w:rFonts w:cs="Times New Roman"/>
    </w:rPr>
  </w:style>
  <w:style w:type="character" w:customStyle="1" w:styleId="ListLabel422">
    <w:name w:val="ListLabel 422"/>
    <w:qFormat/>
    <w:rPr>
      <w:rFonts w:cs="Times New Roman"/>
    </w:rPr>
  </w:style>
  <w:style w:type="character" w:customStyle="1" w:styleId="ListLabel423">
    <w:name w:val="ListLabel 423"/>
    <w:qFormat/>
    <w:rPr>
      <w:rFonts w:cs="Times New Roman"/>
    </w:rPr>
  </w:style>
  <w:style w:type="character" w:customStyle="1" w:styleId="ListLabel424">
    <w:name w:val="ListLabel 424"/>
    <w:qFormat/>
    <w:rPr>
      <w:rFonts w:cs="Times New Roman"/>
    </w:rPr>
  </w:style>
  <w:style w:type="character" w:customStyle="1" w:styleId="ListLabel425">
    <w:name w:val="ListLabel 425"/>
    <w:qFormat/>
    <w:rPr>
      <w:rFonts w:cs="Times New Roman"/>
    </w:rPr>
  </w:style>
  <w:style w:type="character" w:customStyle="1" w:styleId="ListLabel426">
    <w:name w:val="ListLabel 426"/>
    <w:qFormat/>
    <w:rPr>
      <w:rFonts w:cs="Times New Roman"/>
    </w:rPr>
  </w:style>
  <w:style w:type="character" w:customStyle="1" w:styleId="ListLabel427">
    <w:name w:val="ListLabel 427"/>
    <w:qFormat/>
    <w:rPr>
      <w:rFonts w:cs="Times New Roman"/>
    </w:rPr>
  </w:style>
  <w:style w:type="character" w:customStyle="1" w:styleId="ListLabel428">
    <w:name w:val="ListLabel 428"/>
    <w:qFormat/>
    <w:rPr>
      <w:rFonts w:cs="Times New Roman"/>
    </w:rPr>
  </w:style>
  <w:style w:type="character" w:customStyle="1" w:styleId="ListLabel429">
    <w:name w:val="ListLabel 429"/>
    <w:qFormat/>
    <w:rPr>
      <w:rFonts w:cs="Times New Roman"/>
    </w:rPr>
  </w:style>
  <w:style w:type="character" w:customStyle="1" w:styleId="ListLabel430">
    <w:name w:val="ListLabel 430"/>
    <w:qFormat/>
    <w:rPr>
      <w:rFonts w:cs="Times New Roman"/>
    </w:rPr>
  </w:style>
  <w:style w:type="character" w:customStyle="1" w:styleId="ListLabel431">
    <w:name w:val="ListLabel 431"/>
    <w:qFormat/>
    <w:rPr>
      <w:rFonts w:cs="Times New Roman"/>
    </w:rPr>
  </w:style>
  <w:style w:type="character" w:customStyle="1" w:styleId="ListLabel432">
    <w:name w:val="ListLabel 432"/>
    <w:qFormat/>
    <w:rPr>
      <w:rFonts w:cs="Times New Roman"/>
    </w:rPr>
  </w:style>
  <w:style w:type="character" w:customStyle="1" w:styleId="ListLabel433">
    <w:name w:val="ListLabel 433"/>
    <w:qFormat/>
    <w:rPr>
      <w:rFonts w:cs="Times New Roman"/>
    </w:rPr>
  </w:style>
  <w:style w:type="character" w:customStyle="1" w:styleId="ListLabel434">
    <w:name w:val="ListLabel 434"/>
    <w:qFormat/>
    <w:rPr>
      <w:rFonts w:cs="Times New Roman"/>
    </w:rPr>
  </w:style>
  <w:style w:type="character" w:customStyle="1" w:styleId="ListLabel435">
    <w:name w:val="ListLabel 435"/>
    <w:qFormat/>
    <w:rPr>
      <w:rFonts w:cs="Times New Roman"/>
    </w:rPr>
  </w:style>
  <w:style w:type="character" w:customStyle="1" w:styleId="ListLabel436">
    <w:name w:val="ListLabel 436"/>
    <w:qFormat/>
    <w:rPr>
      <w:rFonts w:cs="Times New Roman"/>
    </w:rPr>
  </w:style>
  <w:style w:type="character" w:customStyle="1" w:styleId="ListLabel437">
    <w:name w:val="ListLabel 437"/>
    <w:qFormat/>
    <w:rPr>
      <w:rFonts w:cs="Times New Roman"/>
    </w:rPr>
  </w:style>
  <w:style w:type="character" w:customStyle="1" w:styleId="ListLabel438">
    <w:name w:val="ListLabel 438"/>
    <w:qFormat/>
    <w:rPr>
      <w:rFonts w:cs="Times New Roman"/>
    </w:rPr>
  </w:style>
  <w:style w:type="character" w:customStyle="1" w:styleId="ListLabel439">
    <w:name w:val="ListLabel 439"/>
    <w:qFormat/>
    <w:rPr>
      <w:rFonts w:cs="Times New Roman"/>
    </w:rPr>
  </w:style>
  <w:style w:type="character" w:customStyle="1" w:styleId="ListLabel440">
    <w:name w:val="ListLabel 440"/>
    <w:qFormat/>
    <w:rPr>
      <w:rFonts w:cs="Times New Roman"/>
    </w:rPr>
  </w:style>
  <w:style w:type="character" w:customStyle="1" w:styleId="ListLabel441">
    <w:name w:val="ListLabel 441"/>
    <w:qFormat/>
    <w:rPr>
      <w:rFonts w:cs="Times New Roman"/>
    </w:rPr>
  </w:style>
  <w:style w:type="character" w:customStyle="1" w:styleId="ListLabel442">
    <w:name w:val="ListLabel 442"/>
    <w:qFormat/>
    <w:rPr>
      <w:rFonts w:cs="Times New Roman"/>
    </w:rPr>
  </w:style>
  <w:style w:type="character" w:customStyle="1" w:styleId="ListLabel443">
    <w:name w:val="ListLabel 443"/>
    <w:qFormat/>
    <w:rPr>
      <w:rFonts w:cs="Times New Roman"/>
    </w:rPr>
  </w:style>
  <w:style w:type="character" w:customStyle="1" w:styleId="ListLabel444">
    <w:name w:val="ListLabel 444"/>
    <w:qFormat/>
    <w:rPr>
      <w:rFonts w:cs="Times New Roman"/>
    </w:rPr>
  </w:style>
  <w:style w:type="character" w:customStyle="1" w:styleId="ListLabel445">
    <w:name w:val="ListLabel 445"/>
    <w:qFormat/>
    <w:rPr>
      <w:rFonts w:cs="Times New Roman"/>
    </w:rPr>
  </w:style>
  <w:style w:type="character" w:customStyle="1" w:styleId="ListLabel446">
    <w:name w:val="ListLabel 446"/>
    <w:qFormat/>
    <w:rPr>
      <w:rFonts w:cs="Times New Roman"/>
    </w:rPr>
  </w:style>
  <w:style w:type="character" w:customStyle="1" w:styleId="ListLabel447">
    <w:name w:val="ListLabel 447"/>
    <w:qFormat/>
    <w:rPr>
      <w:rFonts w:cs="Times New Roman"/>
    </w:rPr>
  </w:style>
  <w:style w:type="character" w:customStyle="1" w:styleId="ListLabel448">
    <w:name w:val="ListLabel 448"/>
    <w:qFormat/>
    <w:rPr>
      <w:rFonts w:cs="Times New Roman"/>
    </w:rPr>
  </w:style>
  <w:style w:type="character" w:customStyle="1" w:styleId="ListLabel449">
    <w:name w:val="ListLabel 449"/>
    <w:qFormat/>
    <w:rPr>
      <w:rFonts w:cs="Times New Roman"/>
    </w:rPr>
  </w:style>
  <w:style w:type="character" w:customStyle="1" w:styleId="ListLabel450">
    <w:name w:val="ListLabel 450"/>
    <w:qFormat/>
    <w:rPr>
      <w:rFonts w:cs="Times New Roman"/>
    </w:rPr>
  </w:style>
  <w:style w:type="character" w:customStyle="1" w:styleId="ListLabel451">
    <w:name w:val="ListLabel 451"/>
    <w:qFormat/>
    <w:rPr>
      <w:rFonts w:cs="Times New Roman"/>
    </w:rPr>
  </w:style>
  <w:style w:type="character" w:customStyle="1" w:styleId="ListLabel452">
    <w:name w:val="ListLabel 452"/>
    <w:qFormat/>
    <w:rPr>
      <w:rFonts w:cs="Times New Roman"/>
    </w:rPr>
  </w:style>
  <w:style w:type="character" w:customStyle="1" w:styleId="ListLabel453">
    <w:name w:val="ListLabel 453"/>
    <w:qFormat/>
    <w:rPr>
      <w:rFonts w:cs="Times New Roman"/>
    </w:rPr>
  </w:style>
  <w:style w:type="character" w:customStyle="1" w:styleId="ListLabel454">
    <w:name w:val="ListLabel 454"/>
    <w:qFormat/>
    <w:rPr>
      <w:rFonts w:cs="Times New Roman"/>
    </w:rPr>
  </w:style>
  <w:style w:type="character" w:customStyle="1" w:styleId="ListLabel455">
    <w:name w:val="ListLabel 455"/>
    <w:qFormat/>
    <w:rPr>
      <w:rFonts w:cs="Times New Roman"/>
    </w:rPr>
  </w:style>
  <w:style w:type="character" w:customStyle="1" w:styleId="ListLabel456">
    <w:name w:val="ListLabel 456"/>
    <w:qFormat/>
    <w:rPr>
      <w:rFonts w:cs="Times New Roman"/>
    </w:rPr>
  </w:style>
  <w:style w:type="character" w:customStyle="1" w:styleId="ListLabel457">
    <w:name w:val="ListLabel 457"/>
    <w:qFormat/>
    <w:rPr>
      <w:rFonts w:cs="Times New Roman"/>
    </w:rPr>
  </w:style>
  <w:style w:type="character" w:customStyle="1" w:styleId="ListLabel458">
    <w:name w:val="ListLabel 458"/>
    <w:qFormat/>
    <w:rPr>
      <w:rFonts w:cs="Times New Roman"/>
    </w:rPr>
  </w:style>
  <w:style w:type="character" w:customStyle="1" w:styleId="ListLabel459">
    <w:name w:val="ListLabel 459"/>
    <w:qFormat/>
    <w:rPr>
      <w:rFonts w:cs="Times New Roman"/>
    </w:rPr>
  </w:style>
  <w:style w:type="character" w:customStyle="1" w:styleId="ListLabel460">
    <w:name w:val="ListLabel 460"/>
    <w:qFormat/>
    <w:rPr>
      <w:rFonts w:cs="Times New Roman"/>
    </w:rPr>
  </w:style>
  <w:style w:type="character" w:customStyle="1" w:styleId="ListLabel461">
    <w:name w:val="ListLabel 461"/>
    <w:qFormat/>
    <w:rPr>
      <w:rFonts w:cs="Times New Roman"/>
    </w:rPr>
  </w:style>
  <w:style w:type="character" w:customStyle="1" w:styleId="ListLabel462">
    <w:name w:val="ListLabel 462"/>
    <w:qFormat/>
    <w:rPr>
      <w:rFonts w:cs="Times New Roman"/>
    </w:rPr>
  </w:style>
  <w:style w:type="character" w:customStyle="1" w:styleId="ListLabel463">
    <w:name w:val="ListLabel 463"/>
    <w:qFormat/>
    <w:rPr>
      <w:rFonts w:cs="Times New Roman"/>
    </w:rPr>
  </w:style>
  <w:style w:type="character" w:customStyle="1" w:styleId="ListLabel464">
    <w:name w:val="ListLabel 464"/>
    <w:qFormat/>
    <w:rPr>
      <w:rFonts w:cs="Times New Roman"/>
    </w:rPr>
  </w:style>
  <w:style w:type="character" w:customStyle="1" w:styleId="ListLabel465">
    <w:name w:val="ListLabel 465"/>
    <w:qFormat/>
    <w:rPr>
      <w:rFonts w:cs="Times New Roman"/>
    </w:rPr>
  </w:style>
  <w:style w:type="character" w:customStyle="1" w:styleId="ListLabel466">
    <w:name w:val="ListLabel 466"/>
    <w:qFormat/>
    <w:rPr>
      <w:rFonts w:cs="Times New Roman"/>
    </w:rPr>
  </w:style>
  <w:style w:type="character" w:customStyle="1" w:styleId="ListLabel467">
    <w:name w:val="ListLabel 467"/>
    <w:qFormat/>
    <w:rPr>
      <w:rFonts w:cs="Times New Roman"/>
    </w:rPr>
  </w:style>
  <w:style w:type="character" w:customStyle="1" w:styleId="ListLabel468">
    <w:name w:val="ListLabel 468"/>
    <w:qFormat/>
    <w:rPr>
      <w:rFonts w:cs="Times New Roman"/>
    </w:rPr>
  </w:style>
  <w:style w:type="character" w:customStyle="1" w:styleId="ListLabel469">
    <w:name w:val="ListLabel 469"/>
    <w:qFormat/>
    <w:rPr>
      <w:rFonts w:cs="Times New Roman"/>
    </w:rPr>
  </w:style>
  <w:style w:type="character" w:customStyle="1" w:styleId="ListLabel470">
    <w:name w:val="ListLabel 470"/>
    <w:qFormat/>
    <w:rPr>
      <w:rFonts w:cs="Times New Roman"/>
    </w:rPr>
  </w:style>
  <w:style w:type="character" w:customStyle="1" w:styleId="ListLabel471">
    <w:name w:val="ListLabel 471"/>
    <w:qFormat/>
    <w:rPr>
      <w:rFonts w:cs="Times New Roman"/>
    </w:rPr>
  </w:style>
  <w:style w:type="character" w:customStyle="1" w:styleId="ListLabel472">
    <w:name w:val="ListLabel 472"/>
    <w:qFormat/>
    <w:rPr>
      <w:rFonts w:cs="Times New Roman"/>
    </w:rPr>
  </w:style>
  <w:style w:type="character" w:customStyle="1" w:styleId="ListLabel473">
    <w:name w:val="ListLabel 473"/>
    <w:qFormat/>
    <w:rPr>
      <w:rFonts w:cs="Times New Roman"/>
    </w:rPr>
  </w:style>
  <w:style w:type="character" w:customStyle="1" w:styleId="ListLabel474">
    <w:name w:val="ListLabel 474"/>
    <w:qFormat/>
    <w:rPr>
      <w:rFonts w:cs="Times New Roman"/>
    </w:rPr>
  </w:style>
  <w:style w:type="character" w:customStyle="1" w:styleId="ListLabel475">
    <w:name w:val="ListLabel 475"/>
    <w:qFormat/>
    <w:rPr>
      <w:rFonts w:cs="Times New Roman"/>
    </w:rPr>
  </w:style>
  <w:style w:type="character" w:customStyle="1" w:styleId="ListLabel476">
    <w:name w:val="ListLabel 476"/>
    <w:qFormat/>
    <w:rPr>
      <w:rFonts w:cs="Times New Roman"/>
    </w:rPr>
  </w:style>
  <w:style w:type="character" w:customStyle="1" w:styleId="ListLabel477">
    <w:name w:val="ListLabel 477"/>
    <w:qFormat/>
    <w:rPr>
      <w:rFonts w:cs="Times New Roman"/>
    </w:rPr>
  </w:style>
  <w:style w:type="character" w:customStyle="1" w:styleId="ListLabel478">
    <w:name w:val="ListLabel 478"/>
    <w:qFormat/>
    <w:rPr>
      <w:rFonts w:cs="Times New Roman"/>
    </w:rPr>
  </w:style>
  <w:style w:type="character" w:customStyle="1" w:styleId="ListLabel479">
    <w:name w:val="ListLabel 479"/>
    <w:qFormat/>
    <w:rPr>
      <w:rFonts w:cs="Times New Roman"/>
    </w:rPr>
  </w:style>
  <w:style w:type="character" w:customStyle="1" w:styleId="ListLabel480">
    <w:name w:val="ListLabel 480"/>
    <w:qFormat/>
    <w:rPr>
      <w:rFonts w:cs="Times New Roman"/>
    </w:rPr>
  </w:style>
  <w:style w:type="character" w:customStyle="1" w:styleId="ListLabel481">
    <w:name w:val="ListLabel 481"/>
    <w:qFormat/>
    <w:rPr>
      <w:rFonts w:cs="Times New Roman"/>
    </w:rPr>
  </w:style>
  <w:style w:type="character" w:customStyle="1" w:styleId="ListLabel482">
    <w:name w:val="ListLabel 482"/>
    <w:qFormat/>
    <w:rPr>
      <w:rFonts w:cs="Times New Roman"/>
    </w:rPr>
  </w:style>
  <w:style w:type="character" w:customStyle="1" w:styleId="ListLabel483">
    <w:name w:val="ListLabel 483"/>
    <w:qFormat/>
    <w:rPr>
      <w:rFonts w:cs="Times New Roman"/>
    </w:rPr>
  </w:style>
  <w:style w:type="character" w:customStyle="1" w:styleId="ListLabel484">
    <w:name w:val="ListLabel 484"/>
    <w:qFormat/>
    <w:rPr>
      <w:rFonts w:cs="Times New Roman"/>
    </w:rPr>
  </w:style>
  <w:style w:type="character" w:customStyle="1" w:styleId="ListLabel485">
    <w:name w:val="ListLabel 485"/>
    <w:qFormat/>
    <w:rPr>
      <w:rFonts w:cs="Times New Roman"/>
    </w:rPr>
  </w:style>
  <w:style w:type="character" w:customStyle="1" w:styleId="ListLabel486">
    <w:name w:val="ListLabel 486"/>
    <w:qFormat/>
    <w:rPr>
      <w:rFonts w:cs="Times New Roman"/>
    </w:rPr>
  </w:style>
  <w:style w:type="character" w:customStyle="1" w:styleId="ListLabel487">
    <w:name w:val="ListLabel 487"/>
    <w:qFormat/>
    <w:rPr>
      <w:rFonts w:cs="Times New Roman"/>
    </w:rPr>
  </w:style>
  <w:style w:type="character" w:customStyle="1" w:styleId="ListLabel488">
    <w:name w:val="ListLabel 488"/>
    <w:qFormat/>
    <w:rPr>
      <w:rFonts w:cs="Times New Roman"/>
    </w:rPr>
  </w:style>
  <w:style w:type="character" w:customStyle="1" w:styleId="ListLabel489">
    <w:name w:val="ListLabel 489"/>
    <w:qFormat/>
    <w:rPr>
      <w:rFonts w:cs="Times New Roman"/>
    </w:rPr>
  </w:style>
  <w:style w:type="character" w:customStyle="1" w:styleId="ListLabel490">
    <w:name w:val="ListLabel 490"/>
    <w:qFormat/>
    <w:rPr>
      <w:rFonts w:cs="Times New Roman"/>
    </w:rPr>
  </w:style>
  <w:style w:type="character" w:customStyle="1" w:styleId="ListLabel491">
    <w:name w:val="ListLabel 491"/>
    <w:qFormat/>
    <w:rPr>
      <w:rFonts w:cs="Times New Roman"/>
    </w:rPr>
  </w:style>
  <w:style w:type="character" w:customStyle="1" w:styleId="ListLabel492">
    <w:name w:val="ListLabel 492"/>
    <w:qFormat/>
    <w:rPr>
      <w:rFonts w:cs="Times New Roman"/>
    </w:rPr>
  </w:style>
  <w:style w:type="character" w:customStyle="1" w:styleId="ListLabel493">
    <w:name w:val="ListLabel 493"/>
    <w:qFormat/>
    <w:rPr>
      <w:rFonts w:cs="Times New Roman"/>
    </w:rPr>
  </w:style>
  <w:style w:type="character" w:customStyle="1" w:styleId="ListLabel494">
    <w:name w:val="ListLabel 494"/>
    <w:qFormat/>
    <w:rPr>
      <w:rFonts w:cs="Times New Roman"/>
    </w:rPr>
  </w:style>
  <w:style w:type="character" w:customStyle="1" w:styleId="ListLabel495">
    <w:name w:val="ListLabel 495"/>
    <w:qFormat/>
    <w:rPr>
      <w:rFonts w:cs="Times New Roman"/>
    </w:rPr>
  </w:style>
  <w:style w:type="character" w:customStyle="1" w:styleId="ListLabel496">
    <w:name w:val="ListLabel 496"/>
    <w:qFormat/>
    <w:rPr>
      <w:rFonts w:cs="Times New Roman"/>
    </w:rPr>
  </w:style>
  <w:style w:type="character" w:customStyle="1" w:styleId="ListLabel497">
    <w:name w:val="ListLabel 497"/>
    <w:qFormat/>
    <w:rPr>
      <w:rFonts w:cs="Times New Roman"/>
    </w:rPr>
  </w:style>
  <w:style w:type="character" w:customStyle="1" w:styleId="ListLabel498">
    <w:name w:val="ListLabel 498"/>
    <w:qFormat/>
    <w:rPr>
      <w:rFonts w:cs="Times New Roman"/>
    </w:rPr>
  </w:style>
  <w:style w:type="character" w:customStyle="1" w:styleId="ListLabel499">
    <w:name w:val="ListLabel 499"/>
    <w:qFormat/>
    <w:rPr>
      <w:rFonts w:cs="Times New Roman"/>
    </w:rPr>
  </w:style>
  <w:style w:type="character" w:customStyle="1" w:styleId="ListLabel500">
    <w:name w:val="ListLabel 500"/>
    <w:qFormat/>
    <w:rPr>
      <w:rFonts w:cs="Times New Roman"/>
    </w:rPr>
  </w:style>
  <w:style w:type="character" w:customStyle="1" w:styleId="ListLabel501">
    <w:name w:val="ListLabel 501"/>
    <w:qFormat/>
    <w:rPr>
      <w:rFonts w:cs="Times New Roman"/>
    </w:rPr>
  </w:style>
  <w:style w:type="character" w:customStyle="1" w:styleId="ListLabel502">
    <w:name w:val="ListLabel 502"/>
    <w:qFormat/>
    <w:rPr>
      <w:rFonts w:cs="Times New Roman"/>
    </w:rPr>
  </w:style>
  <w:style w:type="character" w:customStyle="1" w:styleId="ListLabel503">
    <w:name w:val="ListLabel 503"/>
    <w:qFormat/>
    <w:rPr>
      <w:rFonts w:cs="Times New Roman"/>
    </w:rPr>
  </w:style>
  <w:style w:type="character" w:customStyle="1" w:styleId="ListLabel504">
    <w:name w:val="ListLabel 504"/>
    <w:qFormat/>
    <w:rPr>
      <w:rFonts w:cs="Times New Roman"/>
    </w:rPr>
  </w:style>
  <w:style w:type="character" w:customStyle="1" w:styleId="ListLabel505">
    <w:name w:val="ListLabel 505"/>
    <w:qFormat/>
    <w:rPr>
      <w:rFonts w:cs="Times New Roman"/>
    </w:rPr>
  </w:style>
  <w:style w:type="character" w:customStyle="1" w:styleId="ListLabel506">
    <w:name w:val="ListLabel 506"/>
    <w:qFormat/>
    <w:rPr>
      <w:rFonts w:cs="Times New Roman"/>
    </w:rPr>
  </w:style>
  <w:style w:type="character" w:customStyle="1" w:styleId="ListLabel507">
    <w:name w:val="ListLabel 507"/>
    <w:qFormat/>
    <w:rPr>
      <w:rFonts w:cs="Times New Roman"/>
    </w:rPr>
  </w:style>
  <w:style w:type="character" w:customStyle="1" w:styleId="ListLabel508">
    <w:name w:val="ListLabel 508"/>
    <w:qFormat/>
    <w:rPr>
      <w:rFonts w:cs="Times New Roman"/>
    </w:rPr>
  </w:style>
  <w:style w:type="character" w:customStyle="1" w:styleId="ListLabel509">
    <w:name w:val="ListLabel 509"/>
    <w:qFormat/>
    <w:rPr>
      <w:rFonts w:cs="Times New Roman"/>
    </w:rPr>
  </w:style>
  <w:style w:type="character" w:customStyle="1" w:styleId="ListLabel510">
    <w:name w:val="ListLabel 510"/>
    <w:qFormat/>
    <w:rPr>
      <w:rFonts w:cs="Times New Roman"/>
    </w:rPr>
  </w:style>
  <w:style w:type="character" w:customStyle="1" w:styleId="ListLabel511">
    <w:name w:val="ListLabel 511"/>
    <w:qFormat/>
    <w:rPr>
      <w:rFonts w:cs="Times New Roman"/>
    </w:rPr>
  </w:style>
  <w:style w:type="character" w:customStyle="1" w:styleId="ListLabel512">
    <w:name w:val="ListLabel 512"/>
    <w:qFormat/>
    <w:rPr>
      <w:rFonts w:cs="Times New Roman"/>
    </w:rPr>
  </w:style>
  <w:style w:type="character" w:customStyle="1" w:styleId="ListLabel513">
    <w:name w:val="ListLabel 513"/>
    <w:qFormat/>
    <w:rPr>
      <w:rFonts w:cs="Times New Roman"/>
    </w:rPr>
  </w:style>
  <w:style w:type="character" w:customStyle="1" w:styleId="ListLabel514">
    <w:name w:val="ListLabel 514"/>
    <w:qFormat/>
    <w:rPr>
      <w:rFonts w:cs="Times New Roman"/>
    </w:rPr>
  </w:style>
  <w:style w:type="character" w:customStyle="1" w:styleId="ListLabel515">
    <w:name w:val="ListLabel 515"/>
    <w:qFormat/>
    <w:rPr>
      <w:rFonts w:cs="Times New Roman"/>
      <w:b w:val="0"/>
      <w:color w:val="auto"/>
    </w:rPr>
  </w:style>
  <w:style w:type="character" w:customStyle="1" w:styleId="ListLabel516">
    <w:name w:val="ListLabel 516"/>
    <w:qFormat/>
    <w:rPr>
      <w:rFonts w:cs="Times New Roman"/>
    </w:rPr>
  </w:style>
  <w:style w:type="character" w:customStyle="1" w:styleId="ListLabel517">
    <w:name w:val="ListLabel 517"/>
    <w:qFormat/>
    <w:rPr>
      <w:rFonts w:cs="Times New Roman"/>
    </w:rPr>
  </w:style>
  <w:style w:type="character" w:customStyle="1" w:styleId="ListLabel518">
    <w:name w:val="ListLabel 518"/>
    <w:qFormat/>
    <w:rPr>
      <w:rFonts w:cs="Times New Roman"/>
    </w:rPr>
  </w:style>
  <w:style w:type="character" w:customStyle="1" w:styleId="ListLabel519">
    <w:name w:val="ListLabel 519"/>
    <w:qFormat/>
    <w:rPr>
      <w:rFonts w:cs="Times New Roman"/>
    </w:rPr>
  </w:style>
  <w:style w:type="character" w:customStyle="1" w:styleId="ListLabel520">
    <w:name w:val="ListLabel 520"/>
    <w:qFormat/>
    <w:rPr>
      <w:rFonts w:cs="Times New Roman"/>
    </w:rPr>
  </w:style>
  <w:style w:type="character" w:customStyle="1" w:styleId="ListLabel521">
    <w:name w:val="ListLabel 521"/>
    <w:qFormat/>
    <w:rPr>
      <w:rFonts w:cs="Times New Roman"/>
    </w:rPr>
  </w:style>
  <w:style w:type="character" w:customStyle="1" w:styleId="ListLabel522">
    <w:name w:val="ListLabel 522"/>
    <w:qFormat/>
    <w:rPr>
      <w:rFonts w:cs="Times New Roman"/>
    </w:rPr>
  </w:style>
  <w:style w:type="character" w:customStyle="1" w:styleId="ListLabel523">
    <w:name w:val="ListLabel 523"/>
    <w:qFormat/>
    <w:rPr>
      <w:rFonts w:cs="Times New Roman"/>
    </w:rPr>
  </w:style>
  <w:style w:type="character" w:customStyle="1" w:styleId="ListLabel524">
    <w:name w:val="ListLabel 524"/>
    <w:qFormat/>
    <w:rPr>
      <w:rFonts w:cs="Courier New"/>
    </w:rPr>
  </w:style>
  <w:style w:type="character" w:customStyle="1" w:styleId="ListLabel525">
    <w:name w:val="ListLabel 525"/>
    <w:qFormat/>
    <w:rPr>
      <w:rFonts w:cs="Courier New"/>
    </w:rPr>
  </w:style>
  <w:style w:type="character" w:customStyle="1" w:styleId="ListLabel526">
    <w:name w:val="ListLabel 526"/>
    <w:qFormat/>
    <w:rPr>
      <w:rFonts w:cs="Courier New"/>
    </w:rPr>
  </w:style>
  <w:style w:type="character" w:customStyle="1" w:styleId="ListLabel527">
    <w:name w:val="ListLabel 527"/>
    <w:qFormat/>
    <w:rPr>
      <w:rFonts w:cs="Courier New"/>
    </w:rPr>
  </w:style>
  <w:style w:type="character" w:customStyle="1" w:styleId="ListLabel528">
    <w:name w:val="ListLabel 528"/>
    <w:qFormat/>
    <w:rPr>
      <w:rFonts w:cs="Courier New"/>
    </w:rPr>
  </w:style>
  <w:style w:type="character" w:customStyle="1" w:styleId="ListLabel529">
    <w:name w:val="ListLabel 529"/>
    <w:qFormat/>
    <w:rPr>
      <w:rFonts w:cs="Courier New"/>
    </w:rPr>
  </w:style>
  <w:style w:type="character" w:customStyle="1" w:styleId="ListLabel530">
    <w:name w:val="ListLabel 530"/>
    <w:qFormat/>
    <w:rPr>
      <w:rFonts w:cs="Times New Roman"/>
    </w:rPr>
  </w:style>
  <w:style w:type="character" w:customStyle="1" w:styleId="ListLabel531">
    <w:name w:val="ListLabel 531"/>
    <w:qFormat/>
    <w:rPr>
      <w:rFonts w:cs="Times New Roman"/>
    </w:rPr>
  </w:style>
  <w:style w:type="character" w:customStyle="1" w:styleId="ListLabel532">
    <w:name w:val="ListLabel 532"/>
    <w:qFormat/>
    <w:rPr>
      <w:rFonts w:cs="Times New Roman"/>
    </w:rPr>
  </w:style>
  <w:style w:type="character" w:customStyle="1" w:styleId="ListLabel533">
    <w:name w:val="ListLabel 533"/>
    <w:qFormat/>
    <w:rPr>
      <w:rFonts w:cs="Times New Roman"/>
    </w:rPr>
  </w:style>
  <w:style w:type="character" w:customStyle="1" w:styleId="ListLabel534">
    <w:name w:val="ListLabel 534"/>
    <w:qFormat/>
    <w:rPr>
      <w:rFonts w:cs="Times New Roman"/>
    </w:rPr>
  </w:style>
  <w:style w:type="character" w:customStyle="1" w:styleId="ListLabel535">
    <w:name w:val="ListLabel 535"/>
    <w:qFormat/>
    <w:rPr>
      <w:rFonts w:cs="Times New Roman"/>
    </w:rPr>
  </w:style>
  <w:style w:type="character" w:customStyle="1" w:styleId="ListLabel536">
    <w:name w:val="ListLabel 536"/>
    <w:qFormat/>
    <w:rPr>
      <w:rFonts w:cs="Times New Roman"/>
    </w:rPr>
  </w:style>
  <w:style w:type="character" w:customStyle="1" w:styleId="ListLabel537">
    <w:name w:val="ListLabel 537"/>
    <w:qFormat/>
    <w:rPr>
      <w:rFonts w:cs="Times New Roman"/>
    </w:rPr>
  </w:style>
  <w:style w:type="character" w:customStyle="1" w:styleId="ListLabel538">
    <w:name w:val="ListLabel 538"/>
    <w:qFormat/>
    <w:rPr>
      <w:rFonts w:cs="Times New Roman"/>
    </w:rPr>
  </w:style>
  <w:style w:type="character" w:customStyle="1" w:styleId="ListLabel539">
    <w:name w:val="ListLabel 539"/>
    <w:qFormat/>
    <w:rPr>
      <w:rFonts w:cs="Times New Roman"/>
    </w:rPr>
  </w:style>
  <w:style w:type="character" w:customStyle="1" w:styleId="ListLabel540">
    <w:name w:val="ListLabel 540"/>
    <w:qFormat/>
    <w:rPr>
      <w:rFonts w:cs="Times New Roman"/>
    </w:rPr>
  </w:style>
  <w:style w:type="character" w:customStyle="1" w:styleId="ListLabel541">
    <w:name w:val="ListLabel 541"/>
    <w:qFormat/>
    <w:rPr>
      <w:rFonts w:cs="Times New Roman"/>
    </w:rPr>
  </w:style>
  <w:style w:type="character" w:customStyle="1" w:styleId="ListLabel542">
    <w:name w:val="ListLabel 542"/>
    <w:qFormat/>
    <w:rPr>
      <w:rFonts w:cs="Times New Roman"/>
    </w:rPr>
  </w:style>
  <w:style w:type="character" w:customStyle="1" w:styleId="ListLabel543">
    <w:name w:val="ListLabel 543"/>
    <w:qFormat/>
    <w:rPr>
      <w:rFonts w:cs="Times New Roman"/>
    </w:rPr>
  </w:style>
  <w:style w:type="character" w:customStyle="1" w:styleId="ListLabel544">
    <w:name w:val="ListLabel 544"/>
    <w:qFormat/>
    <w:rPr>
      <w:rFonts w:cs="Times New Roman"/>
    </w:rPr>
  </w:style>
  <w:style w:type="character" w:customStyle="1" w:styleId="ListLabel545">
    <w:name w:val="ListLabel 545"/>
    <w:qFormat/>
    <w:rPr>
      <w:rFonts w:cs="Times New Roman"/>
    </w:rPr>
  </w:style>
  <w:style w:type="character" w:customStyle="1" w:styleId="ListLabel546">
    <w:name w:val="ListLabel 546"/>
    <w:qFormat/>
    <w:rPr>
      <w:rFonts w:cs="Times New Roman"/>
    </w:rPr>
  </w:style>
  <w:style w:type="character" w:customStyle="1" w:styleId="ListLabel547">
    <w:name w:val="ListLabel 547"/>
    <w:qFormat/>
    <w:rPr>
      <w:rFonts w:cs="Times New Roman"/>
    </w:rPr>
  </w:style>
  <w:style w:type="character" w:customStyle="1" w:styleId="ListLabel548">
    <w:name w:val="ListLabel 548"/>
    <w:qFormat/>
    <w:rPr>
      <w:rFonts w:cs="Times New Roman"/>
    </w:rPr>
  </w:style>
  <w:style w:type="character" w:customStyle="1" w:styleId="ListLabel549">
    <w:name w:val="ListLabel 549"/>
    <w:qFormat/>
    <w:rPr>
      <w:rFonts w:cs="Times New Roman"/>
    </w:rPr>
  </w:style>
  <w:style w:type="character" w:customStyle="1" w:styleId="ListLabel550">
    <w:name w:val="ListLabel 550"/>
    <w:qFormat/>
    <w:rPr>
      <w:rFonts w:cs="Times New Roman"/>
    </w:rPr>
  </w:style>
  <w:style w:type="character" w:customStyle="1" w:styleId="ListLabel551">
    <w:name w:val="ListLabel 551"/>
    <w:qFormat/>
    <w:rPr>
      <w:rFonts w:cs="Times New Roman"/>
    </w:rPr>
  </w:style>
  <w:style w:type="character" w:customStyle="1" w:styleId="ListLabel552">
    <w:name w:val="ListLabel 552"/>
    <w:qFormat/>
    <w:rPr>
      <w:rFonts w:cs="Times New Roman"/>
    </w:rPr>
  </w:style>
  <w:style w:type="character" w:customStyle="1" w:styleId="ListLabel553">
    <w:name w:val="ListLabel 553"/>
    <w:qFormat/>
    <w:rPr>
      <w:rFonts w:cs="Times New Roman"/>
    </w:rPr>
  </w:style>
  <w:style w:type="character" w:customStyle="1" w:styleId="ListLabel554">
    <w:name w:val="ListLabel 554"/>
    <w:qFormat/>
    <w:rPr>
      <w:rFonts w:cs="Times New Roman"/>
    </w:rPr>
  </w:style>
  <w:style w:type="character" w:customStyle="1" w:styleId="ListLabel555">
    <w:name w:val="ListLabel 555"/>
    <w:qFormat/>
    <w:rPr>
      <w:rFonts w:cs="Times New Roman"/>
    </w:rPr>
  </w:style>
  <w:style w:type="character" w:customStyle="1" w:styleId="ListLabel556">
    <w:name w:val="ListLabel 556"/>
    <w:qFormat/>
    <w:rPr>
      <w:rFonts w:cs="Times New Roman"/>
    </w:rPr>
  </w:style>
  <w:style w:type="character" w:customStyle="1" w:styleId="ListLabel557">
    <w:name w:val="ListLabel 557"/>
    <w:qFormat/>
    <w:rPr>
      <w:rFonts w:cs="Times New Roman"/>
      <w:sz w:val="24"/>
      <w:szCs w:val="24"/>
    </w:rPr>
  </w:style>
  <w:style w:type="character" w:customStyle="1" w:styleId="ListLabel558">
    <w:name w:val="ListLabel 558"/>
    <w:qFormat/>
    <w:rPr>
      <w:rFonts w:cs="Times New Roman"/>
      <w:sz w:val="24"/>
      <w:szCs w:val="24"/>
    </w:rPr>
  </w:style>
  <w:style w:type="character" w:customStyle="1" w:styleId="ListLabel559">
    <w:name w:val="ListLabel 559"/>
    <w:qFormat/>
    <w:rPr>
      <w:rFonts w:cs="Times New Roman"/>
    </w:rPr>
  </w:style>
  <w:style w:type="character" w:customStyle="1" w:styleId="ListLabel560">
    <w:name w:val="ListLabel 560"/>
    <w:qFormat/>
    <w:rPr>
      <w:rFonts w:cs="Times New Roman"/>
    </w:rPr>
  </w:style>
  <w:style w:type="character" w:customStyle="1" w:styleId="ListLabel561">
    <w:name w:val="ListLabel 561"/>
    <w:qFormat/>
    <w:rPr>
      <w:rFonts w:cs="Times New Roman"/>
    </w:rPr>
  </w:style>
  <w:style w:type="character" w:customStyle="1" w:styleId="ListLabel562">
    <w:name w:val="ListLabel 562"/>
    <w:qFormat/>
    <w:rPr>
      <w:rFonts w:cs="Times New Roman"/>
    </w:rPr>
  </w:style>
  <w:style w:type="character" w:customStyle="1" w:styleId="ListLabel563">
    <w:name w:val="ListLabel 563"/>
    <w:qFormat/>
    <w:rPr>
      <w:rFonts w:cs="Times New Roman"/>
    </w:rPr>
  </w:style>
  <w:style w:type="character" w:customStyle="1" w:styleId="ListLabel564">
    <w:name w:val="ListLabel 564"/>
    <w:qFormat/>
    <w:rPr>
      <w:rFonts w:cs="Times New Roman"/>
    </w:rPr>
  </w:style>
  <w:style w:type="character" w:customStyle="1" w:styleId="ListLabel565">
    <w:name w:val="ListLabel 565"/>
    <w:qFormat/>
    <w:rPr>
      <w:rFonts w:cs="Times New Roman"/>
    </w:rPr>
  </w:style>
  <w:style w:type="character" w:customStyle="1" w:styleId="ListLabel566">
    <w:name w:val="ListLabel 566"/>
    <w:qFormat/>
    <w:rPr>
      <w:rFonts w:cs="Times New Roman"/>
    </w:rPr>
  </w:style>
  <w:style w:type="character" w:customStyle="1" w:styleId="ListLabel567">
    <w:name w:val="ListLabel 567"/>
    <w:qFormat/>
    <w:rPr>
      <w:rFonts w:cs="Courier New"/>
    </w:rPr>
  </w:style>
  <w:style w:type="character" w:customStyle="1" w:styleId="ListLabel568">
    <w:name w:val="ListLabel 568"/>
    <w:qFormat/>
    <w:rPr>
      <w:rFonts w:cs="Courier New"/>
    </w:rPr>
  </w:style>
  <w:style w:type="character" w:customStyle="1" w:styleId="ListLabel569">
    <w:name w:val="ListLabel 569"/>
    <w:qFormat/>
    <w:rPr>
      <w:rFonts w:cs="Courier New"/>
    </w:rPr>
  </w:style>
  <w:style w:type="character" w:customStyle="1" w:styleId="ListLabel570">
    <w:name w:val="ListLabel 570"/>
    <w:qFormat/>
    <w:rPr>
      <w:rFonts w:cs="Courier New"/>
    </w:rPr>
  </w:style>
  <w:style w:type="character" w:customStyle="1" w:styleId="ListLabel571">
    <w:name w:val="ListLabel 571"/>
    <w:qFormat/>
    <w:rPr>
      <w:rFonts w:cs="Courier New"/>
    </w:rPr>
  </w:style>
  <w:style w:type="character" w:customStyle="1" w:styleId="ListLabel572">
    <w:name w:val="ListLabel 572"/>
    <w:qFormat/>
    <w:rPr>
      <w:rFonts w:cs="Courier New"/>
    </w:rPr>
  </w:style>
  <w:style w:type="character" w:customStyle="1" w:styleId="ListLabel573">
    <w:name w:val="ListLabel 573"/>
    <w:qFormat/>
    <w:rPr>
      <w:rFonts w:cs="Courier New"/>
    </w:rPr>
  </w:style>
  <w:style w:type="character" w:customStyle="1" w:styleId="ListLabel574">
    <w:name w:val="ListLabel 574"/>
    <w:qFormat/>
    <w:rPr>
      <w:rFonts w:cs="Courier New"/>
    </w:rPr>
  </w:style>
  <w:style w:type="character" w:customStyle="1" w:styleId="ListLabel575">
    <w:name w:val="ListLabel 575"/>
    <w:qFormat/>
    <w:rPr>
      <w:rFonts w:cs="Courier New"/>
    </w:rPr>
  </w:style>
  <w:style w:type="character" w:customStyle="1" w:styleId="ListLabel576">
    <w:name w:val="ListLabel 576"/>
    <w:qFormat/>
    <w:rPr>
      <w:rFonts w:cs="Times New Roman"/>
    </w:rPr>
  </w:style>
  <w:style w:type="character" w:customStyle="1" w:styleId="ListLabel577">
    <w:name w:val="ListLabel 577"/>
    <w:qFormat/>
    <w:rPr>
      <w:rFonts w:cs="Times New Roman"/>
    </w:rPr>
  </w:style>
  <w:style w:type="character" w:customStyle="1" w:styleId="ListLabel578">
    <w:name w:val="ListLabel 578"/>
    <w:qFormat/>
    <w:rPr>
      <w:rFonts w:cs="Times New Roman"/>
    </w:rPr>
  </w:style>
  <w:style w:type="character" w:customStyle="1" w:styleId="ListLabel579">
    <w:name w:val="ListLabel 579"/>
    <w:qFormat/>
    <w:rPr>
      <w:rFonts w:cs="Times New Roman"/>
    </w:rPr>
  </w:style>
  <w:style w:type="character" w:customStyle="1" w:styleId="ListLabel580">
    <w:name w:val="ListLabel 580"/>
    <w:qFormat/>
    <w:rPr>
      <w:rFonts w:cs="Times New Roman"/>
    </w:rPr>
  </w:style>
  <w:style w:type="character" w:customStyle="1" w:styleId="ListLabel581">
    <w:name w:val="ListLabel 581"/>
    <w:qFormat/>
    <w:rPr>
      <w:rFonts w:cs="Times New Roman"/>
    </w:rPr>
  </w:style>
  <w:style w:type="character" w:customStyle="1" w:styleId="ListLabel582">
    <w:name w:val="ListLabel 582"/>
    <w:qFormat/>
    <w:rPr>
      <w:rFonts w:cs="Times New Roman"/>
    </w:rPr>
  </w:style>
  <w:style w:type="character" w:customStyle="1" w:styleId="ListLabel583">
    <w:name w:val="ListLabel 583"/>
    <w:qFormat/>
    <w:rPr>
      <w:rFonts w:cs="Times New Roman"/>
    </w:rPr>
  </w:style>
  <w:style w:type="character" w:customStyle="1" w:styleId="ListLabel584">
    <w:name w:val="ListLabel 584"/>
    <w:qFormat/>
    <w:rPr>
      <w:rFonts w:cs="Times New Roman"/>
    </w:rPr>
  </w:style>
  <w:style w:type="character" w:customStyle="1" w:styleId="ListLabel585">
    <w:name w:val="ListLabel 585"/>
    <w:qFormat/>
    <w:rPr>
      <w:rFonts w:cs="Times New Roman"/>
    </w:rPr>
  </w:style>
  <w:style w:type="character" w:customStyle="1" w:styleId="ListLabel586">
    <w:name w:val="ListLabel 586"/>
    <w:qFormat/>
    <w:rPr>
      <w:rFonts w:cs="Times New Roman"/>
    </w:rPr>
  </w:style>
  <w:style w:type="character" w:customStyle="1" w:styleId="ListLabel587">
    <w:name w:val="ListLabel 587"/>
    <w:qFormat/>
    <w:rPr>
      <w:rFonts w:cs="Times New Roman"/>
    </w:rPr>
  </w:style>
  <w:style w:type="character" w:customStyle="1" w:styleId="ListLabel588">
    <w:name w:val="ListLabel 588"/>
    <w:qFormat/>
    <w:rPr>
      <w:rFonts w:cs="Times New Roman"/>
    </w:rPr>
  </w:style>
  <w:style w:type="character" w:customStyle="1" w:styleId="ListLabel589">
    <w:name w:val="ListLabel 589"/>
    <w:qFormat/>
    <w:rPr>
      <w:rFonts w:cs="Times New Roman"/>
    </w:rPr>
  </w:style>
  <w:style w:type="character" w:customStyle="1" w:styleId="ListLabel590">
    <w:name w:val="ListLabel 590"/>
    <w:qFormat/>
    <w:rPr>
      <w:rFonts w:cs="Times New Roman"/>
    </w:rPr>
  </w:style>
  <w:style w:type="character" w:customStyle="1" w:styleId="ListLabel591">
    <w:name w:val="ListLabel 591"/>
    <w:qFormat/>
    <w:rPr>
      <w:rFonts w:cs="Times New Roman"/>
    </w:rPr>
  </w:style>
  <w:style w:type="character" w:customStyle="1" w:styleId="ListLabel592">
    <w:name w:val="ListLabel 592"/>
    <w:qFormat/>
    <w:rPr>
      <w:rFonts w:cs="Times New Roman"/>
    </w:rPr>
  </w:style>
  <w:style w:type="character" w:customStyle="1" w:styleId="ListLabel593">
    <w:name w:val="ListLabel 593"/>
    <w:qFormat/>
    <w:rPr>
      <w:rFonts w:eastAsia="Times New Roman" w:cs="Times New Roman"/>
    </w:rPr>
  </w:style>
  <w:style w:type="character" w:customStyle="1" w:styleId="ListLabel594">
    <w:name w:val="ListLabel 594"/>
    <w:qFormat/>
    <w:rPr>
      <w:rFonts w:cs="Times New Roman"/>
    </w:rPr>
  </w:style>
  <w:style w:type="character" w:customStyle="1" w:styleId="ListLabel595">
    <w:name w:val="ListLabel 595"/>
    <w:qFormat/>
    <w:rPr>
      <w:b w:val="0"/>
    </w:rPr>
  </w:style>
  <w:style w:type="character" w:customStyle="1" w:styleId="ListLabel596">
    <w:name w:val="ListLabel 596"/>
    <w:qFormat/>
    <w:rPr>
      <w:rFonts w:cs="Times New Roman"/>
    </w:rPr>
  </w:style>
  <w:style w:type="character" w:customStyle="1" w:styleId="ListLabel597">
    <w:name w:val="ListLabel 597"/>
    <w:qFormat/>
    <w:rPr>
      <w:rFonts w:cs="Times New Roman"/>
    </w:rPr>
  </w:style>
  <w:style w:type="character" w:customStyle="1" w:styleId="ListLabel598">
    <w:name w:val="ListLabel 598"/>
    <w:qFormat/>
    <w:rPr>
      <w:rFonts w:cs="Times New Roman"/>
    </w:rPr>
  </w:style>
  <w:style w:type="character" w:customStyle="1" w:styleId="ListLabel599">
    <w:name w:val="ListLabel 599"/>
    <w:qFormat/>
    <w:rPr>
      <w:rFonts w:cs="Times New Roman"/>
    </w:rPr>
  </w:style>
  <w:style w:type="character" w:customStyle="1" w:styleId="ListLabel600">
    <w:name w:val="ListLabel 600"/>
    <w:qFormat/>
    <w:rPr>
      <w:rFonts w:cs="Times New Roman"/>
    </w:rPr>
  </w:style>
  <w:style w:type="character" w:customStyle="1" w:styleId="ListLabel601">
    <w:name w:val="ListLabel 601"/>
    <w:qFormat/>
    <w:rPr>
      <w:rFonts w:cs="Times New Roman"/>
    </w:rPr>
  </w:style>
  <w:style w:type="character" w:customStyle="1" w:styleId="ListLabel602">
    <w:name w:val="ListLabel 602"/>
    <w:qFormat/>
    <w:rPr>
      <w:rFonts w:cs="Times New Roman"/>
    </w:rPr>
  </w:style>
  <w:style w:type="character" w:customStyle="1" w:styleId="ListLabel603">
    <w:name w:val="ListLabel 603"/>
    <w:qFormat/>
    <w:rPr>
      <w:rFonts w:cs="Times New Roman"/>
    </w:rPr>
  </w:style>
  <w:style w:type="character" w:customStyle="1" w:styleId="ListLabel604">
    <w:name w:val="ListLabel 604"/>
    <w:qFormat/>
    <w:rPr>
      <w:b w:val="0"/>
    </w:rPr>
  </w:style>
  <w:style w:type="character" w:customStyle="1" w:styleId="ListLabel605">
    <w:name w:val="ListLabel 605"/>
    <w:qFormat/>
    <w:rPr>
      <w:rFonts w:cs="Times New Roman"/>
    </w:rPr>
  </w:style>
  <w:style w:type="character" w:customStyle="1" w:styleId="ListLabel606">
    <w:name w:val="ListLabel 606"/>
    <w:qFormat/>
    <w:rPr>
      <w:rFonts w:cs="Times New Roman"/>
    </w:rPr>
  </w:style>
  <w:style w:type="character" w:customStyle="1" w:styleId="ListLabel607">
    <w:name w:val="ListLabel 607"/>
    <w:qFormat/>
    <w:rPr>
      <w:rFonts w:cs="Times New Roman"/>
    </w:rPr>
  </w:style>
  <w:style w:type="character" w:customStyle="1" w:styleId="ListLabel608">
    <w:name w:val="ListLabel 608"/>
    <w:qFormat/>
    <w:rPr>
      <w:rFonts w:cs="Times New Roman"/>
    </w:rPr>
  </w:style>
  <w:style w:type="character" w:customStyle="1" w:styleId="ListLabel609">
    <w:name w:val="ListLabel 609"/>
    <w:qFormat/>
    <w:rPr>
      <w:rFonts w:cs="Times New Roman"/>
    </w:rPr>
  </w:style>
  <w:style w:type="character" w:customStyle="1" w:styleId="ListLabel610">
    <w:name w:val="ListLabel 610"/>
    <w:qFormat/>
    <w:rPr>
      <w:rFonts w:cs="Times New Roman"/>
    </w:rPr>
  </w:style>
  <w:style w:type="character" w:customStyle="1" w:styleId="ListLabel611">
    <w:name w:val="ListLabel 611"/>
    <w:qFormat/>
    <w:rPr>
      <w:rFonts w:cs="Times New Roman"/>
    </w:rPr>
  </w:style>
  <w:style w:type="character" w:customStyle="1" w:styleId="ListLabel612">
    <w:name w:val="ListLabel 612"/>
    <w:qFormat/>
    <w:rPr>
      <w:rFonts w:cs="Times New Roman"/>
    </w:rPr>
  </w:style>
  <w:style w:type="character" w:customStyle="1" w:styleId="ListLabel613">
    <w:name w:val="ListLabel 613"/>
    <w:qFormat/>
    <w:rPr>
      <w:rFonts w:cs="Times New Roman"/>
    </w:rPr>
  </w:style>
  <w:style w:type="character" w:customStyle="1" w:styleId="ListLabel614">
    <w:name w:val="ListLabel 614"/>
    <w:qFormat/>
    <w:rPr>
      <w:rFonts w:cs="Times New Roman"/>
    </w:rPr>
  </w:style>
  <w:style w:type="character" w:customStyle="1" w:styleId="ListLabel615">
    <w:name w:val="ListLabel 615"/>
    <w:qFormat/>
    <w:rPr>
      <w:rFonts w:cs="Times New Roman"/>
    </w:rPr>
  </w:style>
  <w:style w:type="character" w:customStyle="1" w:styleId="ListLabel616">
    <w:name w:val="ListLabel 616"/>
    <w:qFormat/>
    <w:rPr>
      <w:rFonts w:cs="Times New Roman"/>
    </w:rPr>
  </w:style>
  <w:style w:type="character" w:customStyle="1" w:styleId="ListLabel617">
    <w:name w:val="ListLabel 617"/>
    <w:qFormat/>
    <w:rPr>
      <w:rFonts w:cs="Times New Roman"/>
    </w:rPr>
  </w:style>
  <w:style w:type="character" w:customStyle="1" w:styleId="ListLabel618">
    <w:name w:val="ListLabel 618"/>
    <w:qFormat/>
    <w:rPr>
      <w:rFonts w:cs="Times New Roman"/>
    </w:rPr>
  </w:style>
  <w:style w:type="character" w:customStyle="1" w:styleId="ListLabel619">
    <w:name w:val="ListLabel 619"/>
    <w:qFormat/>
    <w:rPr>
      <w:rFonts w:cs="Times New Roman"/>
    </w:rPr>
  </w:style>
  <w:style w:type="character" w:customStyle="1" w:styleId="ListLabel620">
    <w:name w:val="ListLabel 620"/>
    <w:qFormat/>
    <w:rPr>
      <w:rFonts w:cs="Times New Roman"/>
    </w:rPr>
  </w:style>
  <w:style w:type="paragraph" w:customStyle="1" w:styleId="Heading">
    <w:name w:val="Heading"/>
    <w:basedOn w:val="Normalny"/>
    <w:next w:val="Tekstpodstawowy"/>
    <w:qFormat/>
    <w:pPr>
      <w:keepNext/>
      <w:spacing w:before="240" w:after="120"/>
    </w:pPr>
    <w:rPr>
      <w:rFonts w:ascii="Arial" w:eastAsia="Microsoft YaHei" w:hAnsi="Arial" w:cs="Arial"/>
      <w:sz w:val="28"/>
      <w:szCs w:val="28"/>
    </w:rPr>
  </w:style>
  <w:style w:type="paragraph" w:styleId="Tekstpodstawowy">
    <w:name w:val="Body Text"/>
    <w:basedOn w:val="Normalny"/>
    <w:link w:val="TekstpodstawowyZnak"/>
    <w:rsid w:val="00CC70C2"/>
    <w:pPr>
      <w:spacing w:after="120"/>
    </w:pPr>
  </w:style>
  <w:style w:type="paragraph" w:styleId="Lista">
    <w:name w:val="List"/>
    <w:basedOn w:val="Tekstpodstawowy"/>
    <w:rsid w:val="00CC70C2"/>
  </w:style>
  <w:style w:type="paragraph" w:styleId="Legenda">
    <w:name w:val="caption"/>
    <w:basedOn w:val="Normalny"/>
    <w:qFormat/>
    <w:pPr>
      <w:suppressLineNumbers/>
      <w:spacing w:before="120" w:after="120"/>
    </w:pPr>
    <w:rPr>
      <w:rFonts w:cs="Arial"/>
      <w:i/>
      <w:iCs/>
    </w:rPr>
  </w:style>
  <w:style w:type="paragraph" w:customStyle="1" w:styleId="Index">
    <w:name w:val="Index"/>
    <w:basedOn w:val="Normalny"/>
    <w:qFormat/>
    <w:pPr>
      <w:suppressLineNumbers/>
    </w:pPr>
    <w:rPr>
      <w:rFonts w:cs="Arial"/>
    </w:rPr>
  </w:style>
  <w:style w:type="paragraph" w:customStyle="1" w:styleId="Nagwek1">
    <w:name w:val="Nagłówek1"/>
    <w:basedOn w:val="Normalny"/>
    <w:next w:val="Tekstpodstawowy"/>
    <w:qFormat/>
    <w:rsid w:val="00CC70C2"/>
    <w:pPr>
      <w:keepNext/>
      <w:spacing w:before="240" w:after="120"/>
    </w:pPr>
    <w:rPr>
      <w:rFonts w:ascii="Arial" w:hAnsi="Arial"/>
      <w:sz w:val="28"/>
      <w:szCs w:val="28"/>
    </w:rPr>
  </w:style>
  <w:style w:type="paragraph" w:customStyle="1" w:styleId="Podpis1">
    <w:name w:val="Podpis1"/>
    <w:basedOn w:val="Normalny"/>
    <w:qFormat/>
    <w:rsid w:val="00CC70C2"/>
    <w:pPr>
      <w:suppressLineNumbers/>
      <w:spacing w:before="120" w:after="120"/>
    </w:pPr>
    <w:rPr>
      <w:i/>
      <w:iCs/>
    </w:rPr>
  </w:style>
  <w:style w:type="paragraph" w:customStyle="1" w:styleId="Indeks">
    <w:name w:val="Indeks"/>
    <w:basedOn w:val="Normalny"/>
    <w:qFormat/>
    <w:rsid w:val="00CC70C2"/>
    <w:pPr>
      <w:suppressLineNumbers/>
    </w:pPr>
  </w:style>
  <w:style w:type="paragraph" w:styleId="Nagwek">
    <w:name w:val="header"/>
    <w:basedOn w:val="Normalny"/>
    <w:link w:val="NagwekZnak"/>
    <w:uiPriority w:val="99"/>
    <w:rsid w:val="0018318B"/>
    <w:pPr>
      <w:tabs>
        <w:tab w:val="center" w:pos="4536"/>
        <w:tab w:val="right" w:pos="9072"/>
      </w:tabs>
    </w:pPr>
    <w:rPr>
      <w:rFonts w:cs="Mangal"/>
      <w:sz w:val="21"/>
      <w:szCs w:val="21"/>
    </w:rPr>
  </w:style>
  <w:style w:type="paragraph" w:styleId="Stopka">
    <w:name w:val="footer"/>
    <w:basedOn w:val="Normalny"/>
    <w:link w:val="StopkaZnak"/>
    <w:uiPriority w:val="99"/>
    <w:rsid w:val="0018318B"/>
    <w:pPr>
      <w:tabs>
        <w:tab w:val="center" w:pos="4536"/>
        <w:tab w:val="right" w:pos="9072"/>
      </w:tabs>
    </w:pPr>
    <w:rPr>
      <w:rFonts w:cs="Mangal"/>
      <w:sz w:val="21"/>
      <w:szCs w:val="21"/>
    </w:rPr>
  </w:style>
  <w:style w:type="paragraph" w:styleId="Tekstdymka">
    <w:name w:val="Balloon Text"/>
    <w:basedOn w:val="Normalny"/>
    <w:link w:val="TekstdymkaZnak"/>
    <w:uiPriority w:val="99"/>
    <w:semiHidden/>
    <w:qFormat/>
    <w:rsid w:val="0018318B"/>
    <w:rPr>
      <w:rFonts w:ascii="Tahoma" w:hAnsi="Tahoma" w:cs="Mangal"/>
      <w:sz w:val="14"/>
      <w:szCs w:val="14"/>
    </w:rPr>
  </w:style>
  <w:style w:type="paragraph" w:styleId="Tekstprzypisukocowego">
    <w:name w:val="endnote text"/>
    <w:basedOn w:val="Normalny"/>
    <w:link w:val="TekstprzypisukocowegoZnak"/>
    <w:uiPriority w:val="99"/>
    <w:semiHidden/>
    <w:rsid w:val="0018318B"/>
    <w:rPr>
      <w:rFonts w:cs="Mangal"/>
      <w:sz w:val="18"/>
      <w:szCs w:val="18"/>
    </w:rPr>
  </w:style>
  <w:style w:type="paragraph" w:styleId="Tekstkomentarza">
    <w:name w:val="annotation text"/>
    <w:basedOn w:val="Normalny"/>
    <w:link w:val="TekstkomentarzaZnak"/>
    <w:uiPriority w:val="99"/>
    <w:qFormat/>
    <w:rsid w:val="0018318B"/>
    <w:rPr>
      <w:rFonts w:cs="Mangal"/>
      <w:sz w:val="18"/>
      <w:szCs w:val="18"/>
    </w:rPr>
  </w:style>
  <w:style w:type="paragraph" w:styleId="Tematkomentarza">
    <w:name w:val="annotation subject"/>
    <w:basedOn w:val="Tekstkomentarza"/>
    <w:next w:val="Tekstkomentarza"/>
    <w:link w:val="TematkomentarzaZnak"/>
    <w:uiPriority w:val="99"/>
    <w:semiHidden/>
    <w:qFormat/>
    <w:rsid w:val="0018318B"/>
    <w:rPr>
      <w:b/>
      <w:bCs/>
    </w:rPr>
  </w:style>
  <w:style w:type="paragraph" w:styleId="Poprawka">
    <w:name w:val="Revision"/>
    <w:uiPriority w:val="99"/>
    <w:semiHidden/>
    <w:qFormat/>
    <w:rsid w:val="0018318B"/>
    <w:rPr>
      <w:rFonts w:ascii="Times New Roman" w:eastAsia="SimSun" w:hAnsi="Times New Roman" w:cs="Mangal"/>
      <w:kern w:val="2"/>
      <w:sz w:val="24"/>
      <w:szCs w:val="21"/>
      <w:lang w:eastAsia="hi-IN" w:bidi="hi-IN"/>
    </w:rPr>
  </w:style>
  <w:style w:type="paragraph" w:styleId="NormalnyWeb">
    <w:name w:val="Normal (Web)"/>
    <w:basedOn w:val="Normalny"/>
    <w:uiPriority w:val="99"/>
    <w:semiHidden/>
    <w:qFormat/>
    <w:rsid w:val="0018318B"/>
    <w:pPr>
      <w:widowControl/>
      <w:suppressAutoHyphens w:val="0"/>
      <w:spacing w:beforeAutospacing="1" w:afterAutospacing="1"/>
    </w:pPr>
    <w:rPr>
      <w:rFonts w:eastAsia="Times New Roman" w:cs="Times New Roman"/>
      <w:kern w:val="0"/>
      <w:lang w:eastAsia="pl-PL" w:bidi="ar-SA"/>
    </w:rPr>
  </w:style>
  <w:style w:type="paragraph" w:styleId="Akapitzlist">
    <w:name w:val="List Paragraph"/>
    <w:basedOn w:val="Normalny"/>
    <w:uiPriority w:val="34"/>
    <w:qFormat/>
    <w:rsid w:val="00351A1D"/>
    <w:pPr>
      <w:ind w:left="720"/>
      <w:contextualSpacing/>
    </w:pPr>
    <w:rPr>
      <w:rFonts w:cs="Mangal"/>
      <w:szCs w:val="21"/>
    </w:rPr>
  </w:style>
  <w:style w:type="paragraph" w:customStyle="1" w:styleId="Default">
    <w:name w:val="Default"/>
    <w:qFormat/>
    <w:rsid w:val="0017105F"/>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4497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15517E-CB13-4B75-8130-01143A8B4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9520</Words>
  <Characters>57123</Characters>
  <Application>Microsoft Office Word</Application>
  <DocSecurity>0</DocSecurity>
  <Lines>476</Lines>
  <Paragraphs>133</Paragraphs>
  <ScaleCrop>false</ScaleCrop>
  <Company/>
  <LinksUpToDate>false</LinksUpToDate>
  <CharactersWithSpaces>66510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Rady – organu decyzyjnego Stowarzyszenia Nyskie Księstwo Jezior i Gór</dc:title>
  <dc:subject/>
  <dc:creator>Paweł Rodak</dc:creator>
  <dc:description/>
  <cp:lastModifiedBy>Katarzyna Tracz</cp:lastModifiedBy>
  <cp:revision>2</cp:revision>
  <cp:lastPrinted>2025-03-19T08:53:00Z</cp:lastPrinted>
  <dcterms:created xsi:type="dcterms:W3CDTF">2025-11-06T14:02:00Z</dcterms:created>
  <dcterms:modified xsi:type="dcterms:W3CDTF">2025-11-06T14:02:00Z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